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ind w:left="0" w:right="0" w:hanging="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200" w:after="120"/>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80" w:after="120"/>
        <w:jc w:val="both"/>
        <w:rPr>
          <w:rFonts w:ascii="Arial;sans-serif" w:hAnsi="Arial;sans-serif"/>
          <w:b/>
          <w:color w:val="000000"/>
          <w:sz w:val="16"/>
        </w:rPr>
      </w:pPr>
      <w:r>
        <w:rPr>
          <w:rFonts w:ascii="Arial;sans-serif" w:hAnsi="Arial;sans-serif"/>
          <w:b/>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60" w:after="120"/>
        <w:jc w:val="center"/>
        <w:rPr/>
      </w:pPr>
      <w:r>
        <w:rPr>
          <w:rFonts w:ascii="Arial;sans-serif" w:hAnsi="Arial;sans-serif"/>
          <w:b/>
          <w:color w:val="000000"/>
          <w:sz w:val="20"/>
        </w:rPr>
        <w:t>For the quarterly period ended June 30, 2023</w:t>
      </w:r>
      <w:r>
        <w:rPr>
          <w:color w:val="000000"/>
        </w:rPr>
        <w:t> </w:t>
      </w:r>
    </w:p>
    <w:p>
      <w:pPr>
        <w:pStyle w:val="TextBody"/>
        <w:bidi w:val="0"/>
        <w:spacing w:lineRule="auto" w:line="288" w:before="60" w:after="120"/>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60" w:after="120"/>
        <w:jc w:val="center"/>
        <w:rPr>
          <w:rFonts w:ascii="Arial;sans-serif" w:hAnsi="Arial;sans-serif"/>
          <w:b/>
          <w:color w:val="000000"/>
          <w:sz w:val="20"/>
        </w:rPr>
      </w:pPr>
      <w:r>
        <w:rPr>
          <w:rFonts w:ascii="Arial;sans-serif" w:hAnsi="Arial;sans-serif"/>
          <w:b/>
          <w:color w:val="000000"/>
          <w:sz w:val="20"/>
        </w:rPr>
        <w:t>For the transition period from _______ to _______</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Commission File Number: 001-38853</w:t>
      </w:r>
    </w:p>
    <w:p>
      <w:pPr>
        <w:pStyle w:val="TextBody"/>
        <w:bidi w:val="0"/>
        <w:spacing w:lineRule="auto" w:line="288" w:before="200" w:after="120"/>
        <w:jc w:val="center"/>
        <w:rPr>
          <w:rFonts w:ascii="Arial;sans-serif" w:hAnsi="Arial;sans-serif"/>
          <w:b/>
          <w:color w:val="000000"/>
          <w:sz w:val="40"/>
        </w:rPr>
      </w:pPr>
      <w:r>
        <w:rPr>
          <w:rFonts w:ascii="Arial;sans-serif" w:hAnsi="Arial;sans-serif"/>
          <w:b/>
          <w:color w:val="000000"/>
          <w:sz w:val="40"/>
        </w:rPr>
        <w:t>NGM BIOPHARMACEUTICALS, INC.</w:t>
      </w:r>
    </w:p>
    <w:p>
      <w:pPr>
        <w:pStyle w:val="TextBody"/>
        <w:bidi w:val="0"/>
        <w:spacing w:lineRule="auto" w:line="288" w:before="120" w:after="12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944" w:type="dxa"/>
        <w:jc w:val="left"/>
        <w:tblInd w:w="0" w:type="dxa"/>
        <w:tblLayout w:type="fixed"/>
        <w:tblCellMar>
          <w:top w:w="28" w:type="dxa"/>
          <w:left w:w="28" w:type="dxa"/>
          <w:bottom w:w="28" w:type="dxa"/>
          <w:right w:w="28" w:type="dxa"/>
        </w:tblCellMar>
      </w:tblPr>
      <w:tblGrid>
        <w:gridCol w:w="960"/>
        <w:gridCol w:w="843"/>
        <w:gridCol w:w="851"/>
        <w:gridCol w:w="377"/>
        <w:gridCol w:w="377"/>
        <w:gridCol w:w="536"/>
      </w:tblGrid>
      <w:tr>
        <w:trPr/>
        <w:tc>
          <w:tcPr>
            <w:tcW w:w="9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26-1679911</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333 Oyster Point Boulevard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South San Francisco, CA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8"/>
              </w:rPr>
              <w:t>94080</w:t>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(Zip Code)</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(650) 243-5555</w:t>
      </w:r>
    </w:p>
    <w:p>
      <w:pPr>
        <w:pStyle w:val="TextBody"/>
        <w:bidi w:val="0"/>
        <w:spacing w:lineRule="auto" w:line="288" w:before="40" w:after="12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lineRule="auto" w:line="288" w:before="100" w:after="12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491" w:type="dxa"/>
        <w:jc w:val="center"/>
        <w:tblInd w:w="0" w:type="dxa"/>
        <w:tblLayout w:type="fixed"/>
        <w:tblCellMar>
          <w:top w:w="28" w:type="dxa"/>
          <w:left w:w="28" w:type="dxa"/>
          <w:bottom w:w="28" w:type="dxa"/>
          <w:right w:w="28" w:type="dxa"/>
        </w:tblCellMar>
      </w:tblPr>
      <w:tblGrid>
        <w:gridCol w:w="1325"/>
        <w:gridCol w:w="1164"/>
        <w:gridCol w:w="1171"/>
        <w:gridCol w:w="265"/>
        <w:gridCol w:w="265"/>
        <w:gridCol w:w="266"/>
        <w:gridCol w:w="1182"/>
        <w:gridCol w:w="1182"/>
        <w:gridCol w:w="1671"/>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7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w:t>
              <w:br/>
              <w:t> Symbol</w:t>
            </w:r>
          </w:p>
        </w:tc>
        <w:tc>
          <w:tcPr>
            <w:tcW w:w="403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6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79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NGM</w:t>
            </w:r>
          </w:p>
        </w:tc>
        <w:tc>
          <w:tcPr>
            <w:tcW w:w="403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16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6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645" w:type="dxa"/>
        <w:jc w:val="left"/>
        <w:tblInd w:w="0" w:type="dxa"/>
        <w:tblLayout w:type="fixed"/>
        <w:tblCellMar>
          <w:top w:w="28" w:type="dxa"/>
          <w:left w:w="28" w:type="dxa"/>
          <w:bottom w:w="28" w:type="dxa"/>
          <w:right w:w="28" w:type="dxa"/>
        </w:tblCellMar>
      </w:tblPr>
      <w:tblGrid>
        <w:gridCol w:w="836"/>
        <w:gridCol w:w="736"/>
        <w:gridCol w:w="737"/>
        <w:gridCol w:w="109"/>
        <w:gridCol w:w="109"/>
        <w:gridCol w:w="109"/>
        <w:gridCol w:w="109"/>
        <w:gridCol w:w="109"/>
        <w:gridCol w:w="109"/>
        <w:gridCol w:w="769"/>
        <w:gridCol w:w="769"/>
        <w:gridCol w:w="772"/>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00" w:after="120"/>
        <w:jc w:val="left"/>
        <w:rPr/>
      </w:pPr>
      <w:r>
        <w:rPr>
          <w:rFonts w:ascii="Arial;sans-serif" w:hAnsi="Arial;sans-serif"/>
          <w:b w:val="false"/>
          <w:color w:val="000000"/>
          <w:sz w:val="18"/>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8"/>
        </w:rPr>
        <w:t>No ☒</w:t>
      </w:r>
    </w:p>
    <w:p>
      <w:pPr>
        <w:pStyle w:val="TextBody"/>
        <w:bidi w:val="0"/>
        <w:spacing w:lineRule="auto" w:line="288" w:before="100" w:after="120"/>
        <w:jc w:val="left"/>
        <w:rPr>
          <w:rFonts w:ascii="Arial;sans-serif" w:hAnsi="Arial;sans-serif"/>
          <w:b w:val="false"/>
          <w:color w:val="000000"/>
          <w:sz w:val="18"/>
        </w:rPr>
      </w:pPr>
      <w:r>
        <w:rPr>
          <w:rFonts w:ascii="Arial;sans-serif" w:hAnsi="Arial;sans-serif"/>
          <w:b w:val="false"/>
          <w:color w:val="000000"/>
          <w:sz w:val="18"/>
        </w:rPr>
        <w:t>As of July 31, 2023, the registrant had 82,715,507 shares of common stock, $0.001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3"/>
        <w:gridCol w:w="257"/>
        <w:gridCol w:w="259"/>
        <w:gridCol w:w="109"/>
        <w:gridCol w:w="109"/>
        <w:gridCol w:w="109"/>
        <w:gridCol w:w="2840"/>
        <w:gridCol w:w="2840"/>
        <w:gridCol w:w="2846"/>
        <w:gridCol w:w="158"/>
        <w:gridCol w:w="158"/>
        <w:gridCol w:w="227"/>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0">
              <w:r>
                <w:rPr>
                  <w:rStyle w:val="InternetLink"/>
                  <w:rFonts w:ascii="Arial;sans-serif" w:hAnsi="Arial;sans-serif"/>
                  <w:b w:val="false"/>
                  <w:color w:val="0000FF"/>
                  <w:sz w:val="20"/>
                  <w:u w:val="single"/>
                </w:rPr>
                <w:t>FINANCIAL INFORMATION</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985d809a21704e348def70afbf9b0489_10">
              <w:r>
                <w:rPr>
                  <w:rStyle w:val="InternetLink"/>
                  <w:rFonts w:ascii="Arial;sans-serif" w:hAnsi="Arial;sans-serif"/>
                  <w:b w:val="false"/>
                  <w:strike w:val="false"/>
                  <w:dstrike w:val="false"/>
                  <w:color w:val="000000"/>
                  <w:sz w:val="20"/>
                  <w:u w:val="none"/>
                  <w:effect w:val="none"/>
                </w:rPr>
                <w:t>1</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3">
              <w:r>
                <w:rPr>
                  <w:rStyle w:val="InternetLink"/>
                  <w:rFonts w:ascii="Arial;sans-serif" w:hAnsi="Arial;sans-serif"/>
                  <w:b w:val="false"/>
                  <w:color w:val="0000FF"/>
                  <w:sz w:val="20"/>
                  <w:u w:val="single"/>
                </w:rPr>
                <w:t>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3">
              <w:r>
                <w:rPr>
                  <w:rStyle w:val="InternetLink"/>
                  <w:rFonts w:ascii="Arial;sans-serif" w:hAnsi="Arial;sans-serif"/>
                  <w:b w:val="false"/>
                  <w:strike w:val="false"/>
                  <w:dstrike w:val="false"/>
                  <w:color w:val="000000"/>
                  <w:sz w:val="20"/>
                  <w:u w:val="none"/>
                  <w:effect w:val="none"/>
                </w:rPr>
                <w:t>1</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6">
              <w:r>
                <w:rPr>
                  <w:rStyle w:val="InternetLink"/>
                  <w:rFonts w:ascii="Arial;sans-serif" w:hAnsi="Arial;sans-serif"/>
                  <w:b w:val="false"/>
                  <w:color w:val="000080"/>
                  <w:sz w:val="20"/>
                  <w:u w:val="single"/>
                </w:rPr>
                <w:t xml:space="preserve">Condensed Consolidated Balance Sheets as of </w:t>
              </w:r>
            </w:hyperlink>
            <w:hyperlink w:anchor="i985d809a21704e348def70afbf9b0489_16">
              <w:r>
                <w:rPr>
                  <w:rStyle w:val="InternetLink"/>
                  <w:rFonts w:ascii="Arial;sans-serif" w:hAnsi="Arial;sans-serif"/>
                  <w:b w:val="false"/>
                  <w:color w:val="000080"/>
                  <w:sz w:val="20"/>
                  <w:u w:val="single"/>
                </w:rPr>
                <w:t>June 30</w:t>
              </w:r>
            </w:hyperlink>
            <w:hyperlink w:anchor="i985d809a21704e348def70afbf9b0489_16">
              <w:r>
                <w:rPr>
                  <w:rStyle w:val="InternetLink"/>
                  <w:rFonts w:ascii="Arial;sans-serif" w:hAnsi="Arial;sans-serif"/>
                  <w:b w:val="false"/>
                  <w:color w:val="000080"/>
                  <w:sz w:val="20"/>
                  <w:u w:val="single"/>
                </w:rPr>
                <w:t>, 2023 (Unaudited) and December 31,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6">
              <w:r>
                <w:rPr>
                  <w:rStyle w:val="InternetLink"/>
                  <w:rFonts w:ascii="Arial;sans-serif" w:hAnsi="Arial;sans-serif"/>
                  <w:b w:val="false"/>
                  <w:strike w:val="false"/>
                  <w:dstrike w:val="false"/>
                  <w:color w:val="000000"/>
                  <w:sz w:val="20"/>
                  <w:u w:val="none"/>
                  <w:effect w:val="none"/>
                </w:rPr>
                <w:t>1</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9">
              <w:r>
                <w:rPr>
                  <w:rStyle w:val="InternetLink"/>
                  <w:rFonts w:ascii="Arial;sans-serif" w:hAnsi="Arial;sans-serif"/>
                  <w:b w:val="false"/>
                  <w:color w:val="000080"/>
                  <w:sz w:val="20"/>
                  <w:u w:val="single"/>
                </w:rPr>
                <w:t xml:space="preserve">Condensed Consolidated Statements of Operations for the three </w:t>
              </w:r>
            </w:hyperlink>
            <w:hyperlink w:anchor="i985d809a21704e348def70afbf9b0489_19">
              <w:r>
                <w:rPr>
                  <w:rStyle w:val="InternetLink"/>
                  <w:rFonts w:ascii="Arial;sans-serif" w:hAnsi="Arial;sans-serif"/>
                  <w:b w:val="false"/>
                  <w:color w:val="000080"/>
                  <w:sz w:val="20"/>
                  <w:u w:val="single"/>
                </w:rPr>
                <w:t xml:space="preserve">and six months </w:t>
              </w:r>
            </w:hyperlink>
            <w:hyperlink w:anchor="i985d809a21704e348def70afbf9b0489_19">
              <w:r>
                <w:rPr>
                  <w:rStyle w:val="InternetLink"/>
                  <w:rFonts w:ascii="Arial;sans-serif" w:hAnsi="Arial;sans-serif"/>
                  <w:b w:val="false"/>
                  <w:color w:val="000080"/>
                  <w:sz w:val="20"/>
                  <w:u w:val="single"/>
                </w:rPr>
                <w:t xml:space="preserve">ended </w:t>
              </w:r>
            </w:hyperlink>
            <w:hyperlink w:anchor="i985d809a21704e348def70afbf9b0489_19">
              <w:r>
                <w:rPr>
                  <w:rStyle w:val="InternetLink"/>
                  <w:rFonts w:ascii="Arial;sans-serif" w:hAnsi="Arial;sans-serif"/>
                  <w:b w:val="false"/>
                  <w:color w:val="000080"/>
                  <w:sz w:val="20"/>
                  <w:u w:val="single"/>
                </w:rPr>
                <w:t>June 30</w:t>
              </w:r>
            </w:hyperlink>
            <w:hyperlink w:anchor="i985d809a21704e348def70afbf9b0489_19">
              <w:r>
                <w:rPr>
                  <w:rStyle w:val="InternetLink"/>
                  <w:rFonts w:ascii="Arial;sans-serif" w:hAnsi="Arial;sans-serif"/>
                  <w:b w:val="false"/>
                  <w:color w:val="000080"/>
                  <w:sz w:val="20"/>
                  <w:u w:val="single"/>
                </w:rPr>
                <w:t>, 2023 and 2022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9">
              <w:r>
                <w:rPr>
                  <w:rStyle w:val="InternetLink"/>
                  <w:rFonts w:ascii="Arial;sans-serif" w:hAnsi="Arial;sans-serif"/>
                  <w:b w:val="false"/>
                  <w:strike w:val="false"/>
                  <w:dstrike w:val="false"/>
                  <w:color w:val="000000"/>
                  <w:sz w:val="20"/>
                  <w:u w:val="none"/>
                  <w:effect w:val="none"/>
                </w:rPr>
                <w:t>2</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22">
              <w:r>
                <w:rPr>
                  <w:rStyle w:val="InternetLink"/>
                  <w:rFonts w:ascii="Arial;sans-serif" w:hAnsi="Arial;sans-serif"/>
                  <w:b w:val="false"/>
                  <w:color w:val="000080"/>
                  <w:sz w:val="20"/>
                  <w:u w:val="single"/>
                </w:rPr>
                <w:t xml:space="preserve">Condensed Consolidated Statements of Comprehensive Loss for the three </w:t>
              </w:r>
            </w:hyperlink>
            <w:hyperlink w:anchor="i985d809a21704e348def70afbf9b0489_22">
              <w:r>
                <w:rPr>
                  <w:rStyle w:val="InternetLink"/>
                  <w:rFonts w:ascii="Arial;sans-serif" w:hAnsi="Arial;sans-serif"/>
                  <w:b w:val="false"/>
                  <w:color w:val="000080"/>
                  <w:sz w:val="20"/>
                  <w:u w:val="single"/>
                </w:rPr>
                <w:t xml:space="preserve">and six </w:t>
              </w:r>
            </w:hyperlink>
            <w:hyperlink w:anchor="i985d809a21704e348def70afbf9b0489_22">
              <w:r>
                <w:rPr>
                  <w:rStyle w:val="InternetLink"/>
                  <w:rFonts w:ascii="Arial;sans-serif" w:hAnsi="Arial;sans-serif"/>
                  <w:b w:val="false"/>
                  <w:color w:val="000080"/>
                  <w:sz w:val="20"/>
                  <w:u w:val="single"/>
                </w:rPr>
                <w:t xml:space="preserve">months ended </w:t>
              </w:r>
            </w:hyperlink>
            <w:hyperlink w:anchor="i985d809a21704e348def70afbf9b0489_22">
              <w:r>
                <w:rPr>
                  <w:rStyle w:val="InternetLink"/>
                  <w:rFonts w:ascii="Arial;sans-serif" w:hAnsi="Arial;sans-serif"/>
                  <w:b w:val="false"/>
                  <w:color w:val="000080"/>
                  <w:sz w:val="20"/>
                  <w:u w:val="single"/>
                </w:rPr>
                <w:t>June</w:t>
              </w:r>
            </w:hyperlink>
            <w:hyperlink w:anchor="i985d809a21704e348def70afbf9b0489_22">
              <w:r>
                <w:rPr>
                  <w:rStyle w:val="InternetLink"/>
                  <w:rFonts w:ascii="Arial;sans-serif" w:hAnsi="Arial;sans-serif"/>
                  <w:b w:val="false"/>
                  <w:color w:val="000080"/>
                  <w:sz w:val="20"/>
                  <w:u w:val="single"/>
                </w:rPr>
                <w:t xml:space="preserve"> 30</w:t>
              </w:r>
            </w:hyperlink>
            <w:hyperlink w:anchor="i985d809a21704e348def70afbf9b0489_22">
              <w:r>
                <w:rPr>
                  <w:rStyle w:val="InternetLink"/>
                  <w:rFonts w:ascii="Arial;sans-serif" w:hAnsi="Arial;sans-serif"/>
                  <w:b w:val="false"/>
                  <w:color w:val="000080"/>
                  <w:sz w:val="20"/>
                  <w:u w:val="single"/>
                </w:rPr>
                <w:t>, 2023 and 2022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22">
              <w:r>
                <w:rPr>
                  <w:rStyle w:val="InternetLink"/>
                  <w:rFonts w:ascii="Arial;sans-serif" w:hAnsi="Arial;sans-serif"/>
                  <w:b w:val="false"/>
                  <w:strike w:val="false"/>
                  <w:dstrike w:val="false"/>
                  <w:color w:val="000000"/>
                  <w:sz w:val="20"/>
                  <w:u w:val="none"/>
                  <w:effect w:val="none"/>
                </w:rPr>
                <w:t>3</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25">
              <w:r>
                <w:rPr>
                  <w:rStyle w:val="InternetLink"/>
                  <w:rFonts w:ascii="Arial;sans-serif" w:hAnsi="Arial;sans-serif"/>
                  <w:b w:val="false"/>
                  <w:color w:val="000080"/>
                  <w:sz w:val="20"/>
                  <w:u w:val="single"/>
                </w:rPr>
                <w:t xml:space="preserve">Condensed Consolidated Statements of Stockholders’ Equity for the three </w:t>
              </w:r>
            </w:hyperlink>
            <w:hyperlink w:anchor="i985d809a21704e348def70afbf9b0489_25">
              <w:r>
                <w:rPr>
                  <w:rStyle w:val="InternetLink"/>
                  <w:rFonts w:ascii="Arial;sans-serif" w:hAnsi="Arial;sans-serif"/>
                  <w:b w:val="false"/>
                  <w:color w:val="000080"/>
                  <w:sz w:val="20"/>
                  <w:u w:val="single"/>
                </w:rPr>
                <w:t xml:space="preserve">and six </w:t>
              </w:r>
            </w:hyperlink>
            <w:hyperlink w:anchor="i985d809a21704e348def70afbf9b0489_25">
              <w:r>
                <w:rPr>
                  <w:rStyle w:val="InternetLink"/>
                  <w:rFonts w:ascii="Arial;sans-serif" w:hAnsi="Arial;sans-serif"/>
                  <w:b w:val="false"/>
                  <w:color w:val="000080"/>
                  <w:sz w:val="20"/>
                  <w:u w:val="single"/>
                </w:rPr>
                <w:t xml:space="preserve">months ended </w:t>
              </w:r>
            </w:hyperlink>
            <w:hyperlink w:anchor="i985d809a21704e348def70afbf9b0489_25">
              <w:r>
                <w:rPr>
                  <w:rStyle w:val="InternetLink"/>
                  <w:rFonts w:ascii="Arial;sans-serif" w:hAnsi="Arial;sans-serif"/>
                  <w:b w:val="false"/>
                  <w:color w:val="000080"/>
                  <w:sz w:val="20"/>
                  <w:u w:val="single"/>
                </w:rPr>
                <w:t>June 30</w:t>
              </w:r>
            </w:hyperlink>
            <w:hyperlink w:anchor="i985d809a21704e348def70afbf9b0489_25">
              <w:r>
                <w:rPr>
                  <w:rStyle w:val="InternetLink"/>
                  <w:rFonts w:ascii="Arial;sans-serif" w:hAnsi="Arial;sans-serif"/>
                  <w:b w:val="false"/>
                  <w:color w:val="000080"/>
                  <w:sz w:val="20"/>
                  <w:u w:val="single"/>
                </w:rPr>
                <w:t>, 2023 and 2022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25">
              <w:r>
                <w:rPr>
                  <w:rStyle w:val="InternetLink"/>
                  <w:rFonts w:ascii="Arial;sans-serif" w:hAnsi="Arial;sans-serif"/>
                  <w:b w:val="false"/>
                  <w:strike w:val="false"/>
                  <w:dstrike w:val="false"/>
                  <w:color w:val="000000"/>
                  <w:sz w:val="20"/>
                  <w:u w:val="none"/>
                  <w:effect w:val="none"/>
                </w:rPr>
                <w:t>4</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28">
              <w:r>
                <w:rPr>
                  <w:rStyle w:val="InternetLink"/>
                  <w:rFonts w:ascii="Arial;sans-serif" w:hAnsi="Arial;sans-serif"/>
                  <w:b w:val="false"/>
                  <w:color w:val="000080"/>
                  <w:sz w:val="20"/>
                  <w:u w:val="single"/>
                </w:rPr>
                <w:t xml:space="preserve">Condensed Consolidated Statements of Cash Flows for the </w:t>
              </w:r>
            </w:hyperlink>
            <w:hyperlink w:anchor="i985d809a21704e348def70afbf9b0489_28">
              <w:r>
                <w:rPr>
                  <w:rStyle w:val="InternetLink"/>
                  <w:rFonts w:ascii="Arial;sans-serif" w:hAnsi="Arial;sans-serif"/>
                  <w:b w:val="false"/>
                  <w:color w:val="000080"/>
                  <w:sz w:val="20"/>
                  <w:u w:val="single"/>
                </w:rPr>
                <w:t>six</w:t>
              </w:r>
            </w:hyperlink>
            <w:hyperlink w:anchor="i985d809a21704e348def70afbf9b0489_28">
              <w:r>
                <w:rPr>
                  <w:rStyle w:val="InternetLink"/>
                  <w:rFonts w:ascii="Arial;sans-serif" w:hAnsi="Arial;sans-serif"/>
                  <w:b w:val="false"/>
                  <w:color w:val="000080"/>
                  <w:sz w:val="20"/>
                  <w:u w:val="single"/>
                </w:rPr>
                <w:t xml:space="preserve"> months ended </w:t>
              </w:r>
            </w:hyperlink>
            <w:hyperlink w:anchor="i985d809a21704e348def70afbf9b0489_28">
              <w:r>
                <w:rPr>
                  <w:rStyle w:val="InternetLink"/>
                  <w:rFonts w:ascii="Arial;sans-serif" w:hAnsi="Arial;sans-serif"/>
                  <w:b w:val="false"/>
                  <w:color w:val="000080"/>
                  <w:sz w:val="20"/>
                  <w:u w:val="single"/>
                </w:rPr>
                <w:t>June 30</w:t>
              </w:r>
            </w:hyperlink>
            <w:hyperlink w:anchor="i985d809a21704e348def70afbf9b0489_28">
              <w:r>
                <w:rPr>
                  <w:rStyle w:val="InternetLink"/>
                  <w:rFonts w:ascii="Arial;sans-serif" w:hAnsi="Arial;sans-serif"/>
                  <w:b w:val="false"/>
                  <w:color w:val="000080"/>
                  <w:sz w:val="20"/>
                  <w:u w:val="single"/>
                </w:rPr>
                <w:t>, 2023 and 2022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28">
              <w:r>
                <w:rPr>
                  <w:rStyle w:val="InternetLink"/>
                  <w:rFonts w:ascii="Arial;sans-serif" w:hAnsi="Arial;sans-serif"/>
                  <w:b w:val="false"/>
                  <w:strike w:val="false"/>
                  <w:dstrike w:val="false"/>
                  <w:color w:val="000000"/>
                  <w:sz w:val="20"/>
                  <w:u w:val="none"/>
                  <w:effect w:val="none"/>
                </w:rPr>
                <w:t>5</w:t>
              </w:r>
            </w:hyperlink>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31">
              <w:r>
                <w:rPr>
                  <w:rStyle w:val="InternetLink"/>
                  <w:rFonts w:ascii="Arial;sans-serif" w:hAnsi="Arial;sans-serif"/>
                  <w:b w:val="false"/>
                  <w:color w:val="0000FF"/>
                  <w:sz w:val="20"/>
                  <w:u w:val="single"/>
                </w:rPr>
                <w:t>Notes to Condensed Consolidated 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31">
              <w:r>
                <w:rPr>
                  <w:rStyle w:val="InternetLink"/>
                  <w:rFonts w:ascii="Arial;sans-serif" w:hAnsi="Arial;sans-serif"/>
                  <w:b w:val="false"/>
                  <w:strike w:val="false"/>
                  <w:dstrike w:val="false"/>
                  <w:color w:val="000000"/>
                  <w:sz w:val="20"/>
                  <w:u w:val="none"/>
                  <w:effect w:val="none"/>
                </w:rPr>
                <w:t>6</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64">
              <w:r>
                <w:rPr>
                  <w:rStyle w:val="InternetLink"/>
                  <w:rFonts w:ascii="Arial;sans-serif" w:hAnsi="Arial;sans-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64">
              <w:r>
                <w:rPr>
                  <w:rStyle w:val="InternetLink"/>
                  <w:rFonts w:ascii="Arial;sans-serif" w:hAnsi="Arial;sans-serif"/>
                  <w:b w:val="false"/>
                  <w:strike w:val="false"/>
                  <w:dstrike w:val="false"/>
                  <w:color w:val="000000"/>
                  <w:sz w:val="20"/>
                  <w:u w:val="none"/>
                  <w:effect w:val="none"/>
                </w:rPr>
                <w:t>20</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88">
              <w:r>
                <w:rPr>
                  <w:rStyle w:val="InternetLink"/>
                  <w:rFonts w:ascii="Arial;sans-serif" w:hAnsi="Arial;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88">
              <w:r>
                <w:rPr>
                  <w:rStyle w:val="InternetLink"/>
                  <w:rFonts w:ascii="Arial;sans-serif" w:hAnsi="Arial;sans-serif"/>
                  <w:b w:val="false"/>
                  <w:strike w:val="false"/>
                  <w:dstrike w:val="false"/>
                  <w:color w:val="000000"/>
                  <w:sz w:val="20"/>
                  <w:u w:val="none"/>
                  <w:effect w:val="none"/>
                </w:rPr>
                <w:t>33</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91">
              <w:r>
                <w:rPr>
                  <w:rStyle w:val="InternetLink"/>
                  <w:rFonts w:ascii="Arial;sans-serif" w:hAnsi="Arial;sans-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91">
              <w:r>
                <w:rPr>
                  <w:rStyle w:val="InternetLink"/>
                  <w:rFonts w:ascii="Arial;sans-serif" w:hAnsi="Arial;sans-serif"/>
                  <w:b w:val="false"/>
                  <w:strike w:val="false"/>
                  <w:dstrike w:val="false"/>
                  <w:color w:val="000000"/>
                  <w:sz w:val="20"/>
                  <w:u w:val="none"/>
                  <w:effect w:val="none"/>
                </w:rPr>
                <w:t>33</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94">
              <w:r>
                <w:rPr>
                  <w:rStyle w:val="InternetLink"/>
                  <w:rFonts w:ascii="Arial;sans-serif" w:hAnsi="Arial;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94">
              <w:r>
                <w:rPr>
                  <w:rStyle w:val="InternetLink"/>
                  <w:rFonts w:ascii="Arial;sans-serif" w:hAnsi="Arial;sans-serif"/>
                  <w:b w:val="false"/>
                  <w:strike w:val="false"/>
                  <w:dstrike w:val="false"/>
                  <w:color w:val="000000"/>
                  <w:sz w:val="20"/>
                  <w:u w:val="none"/>
                  <w:effect w:val="none"/>
                </w:rPr>
                <w:t>34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97">
              <w:r>
                <w:rPr>
                  <w:rStyle w:val="InternetLink"/>
                  <w:rFonts w:ascii="Arial;sans-serif" w:hAnsi="Arial;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97">
              <w:r>
                <w:rPr>
                  <w:rStyle w:val="InternetLink"/>
                  <w:rFonts w:ascii="Arial;sans-serif" w:hAnsi="Arial;sans-serif"/>
                  <w:b w:val="false"/>
                  <w:strike w:val="false"/>
                  <w:dstrike w:val="false"/>
                  <w:color w:val="000000"/>
                  <w:sz w:val="20"/>
                  <w:u w:val="none"/>
                  <w:effect w:val="none"/>
                </w:rPr>
                <w:t>34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00">
              <w:r>
                <w:rPr>
                  <w:rStyle w:val="InternetLink"/>
                  <w:rFonts w:ascii="Arial;sans-serif" w:hAnsi="Arial;sans-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00">
              <w:r>
                <w:rPr>
                  <w:rStyle w:val="InternetLink"/>
                  <w:rFonts w:ascii="Arial;sans-serif" w:hAnsi="Arial;sans-serif"/>
                  <w:b w:val="false"/>
                  <w:strike w:val="false"/>
                  <w:dstrike w:val="false"/>
                  <w:color w:val="000000"/>
                  <w:sz w:val="20"/>
                  <w:u w:val="none"/>
                  <w:effect w:val="none"/>
                </w:rPr>
                <w:t>34</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03">
              <w:r>
                <w:rPr>
                  <w:rStyle w:val="InternetLink"/>
                  <w:rFonts w:ascii="Arial;sans-serif" w:hAnsi="Arial;sans-serif"/>
                  <w:b w:val="false"/>
                  <w:color w:val="0000FF"/>
                  <w:sz w:val="20"/>
                  <w:u w:val="single"/>
                </w:rPr>
                <w:t>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03">
              <w:r>
                <w:rPr>
                  <w:rStyle w:val="InternetLink"/>
                  <w:rFonts w:ascii="Arial;sans-serif" w:hAnsi="Arial;sans-serif"/>
                  <w:b w:val="false"/>
                  <w:strike w:val="false"/>
                  <w:dstrike w:val="false"/>
                  <w:color w:val="000000"/>
                  <w:sz w:val="20"/>
                  <w:u w:val="none"/>
                  <w:effect w:val="none"/>
                </w:rPr>
                <w:t>75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06">
              <w:r>
                <w:rPr>
                  <w:rStyle w:val="InternetLink"/>
                  <w:rFonts w:ascii="Arial;sans-serif" w:hAnsi="Arial;sans-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06">
              <w:r>
                <w:rPr>
                  <w:rStyle w:val="InternetLink"/>
                  <w:rFonts w:ascii="Arial;sans-serif" w:hAnsi="Arial;sans-serif"/>
                  <w:b w:val="false"/>
                  <w:strike w:val="false"/>
                  <w:dstrike w:val="false"/>
                  <w:color w:val="000000"/>
                  <w:sz w:val="20"/>
                  <w:u w:val="none"/>
                  <w:effect w:val="none"/>
                </w:rPr>
                <w:t>75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09">
              <w:r>
                <w:rPr>
                  <w:rStyle w:val="InternetLink"/>
                  <w:rFonts w:ascii="Arial;sans-serif" w:hAnsi="Arial;sans-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09">
              <w:r>
                <w:rPr>
                  <w:rStyle w:val="InternetLink"/>
                  <w:rFonts w:ascii="Arial;sans-serif" w:hAnsi="Arial;sans-serif"/>
                  <w:b w:val="false"/>
                  <w:strike w:val="false"/>
                  <w:dstrike w:val="false"/>
                  <w:color w:val="000000"/>
                  <w:sz w:val="20"/>
                  <w:u w:val="none"/>
                  <w:effect w:val="none"/>
                </w:rPr>
                <w:t>75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12">
              <w:r>
                <w:rPr>
                  <w:rStyle w:val="InternetLink"/>
                  <w:rFonts w:ascii="Arial;sans-serif" w:hAnsi="Arial;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12">
              <w:r>
                <w:rPr>
                  <w:rStyle w:val="InternetLink"/>
                  <w:rFonts w:ascii="Arial;sans-serif" w:hAnsi="Arial;sans-serif"/>
                  <w:b w:val="false"/>
                  <w:strike w:val="false"/>
                  <w:dstrike w:val="false"/>
                  <w:color w:val="000000"/>
                  <w:sz w:val="20"/>
                  <w:u w:val="none"/>
                  <w:effect w:val="none"/>
                </w:rPr>
                <w:t>75</w:t>
              </w:r>
            </w:hyperlink>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15">
              <w:r>
                <w:rPr>
                  <w:rStyle w:val="InternetLink"/>
                  <w:rFonts w:ascii="Arial;sans-serif" w:hAnsi="Arial;sans-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15">
              <w:r>
                <w:rPr>
                  <w:rStyle w:val="InternetLink"/>
                  <w:rFonts w:ascii="Arial;sans-serif" w:hAnsi="Arial;sans-serif"/>
                  <w:b w:val="false"/>
                  <w:strike w:val="false"/>
                  <w:dstrike w:val="false"/>
                  <w:color w:val="000000"/>
                  <w:sz w:val="20"/>
                  <w:u w:val="none"/>
                  <w:effect w:val="none"/>
                </w:rPr>
                <w:t>77</w:t>
              </w:r>
            </w:hyperlink>
          </w:p>
        </w:tc>
      </w:tr>
      <w:tr>
        <w:trPr/>
        <w:tc>
          <w:tcPr>
            <w:tcW w:w="966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85d809a21704e348def70afbf9b0489_118">
              <w:r>
                <w:rPr>
                  <w:rStyle w:val="InternetLink"/>
                  <w:rFonts w:ascii="Arial;sans-serif" w:hAnsi="Arial;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5d809a21704e348def70afbf9b0489_118">
              <w:r>
                <w:rPr>
                  <w:rStyle w:val="InternetLink"/>
                  <w:rFonts w:ascii="Arial;sans-serif" w:hAnsi="Arial;sans-serif"/>
                  <w:b w:val="false"/>
                  <w:strike w:val="false"/>
                  <w:dstrike w:val="false"/>
                  <w:color w:val="000000"/>
                  <w:sz w:val="20"/>
                  <w:u w:val="none"/>
                  <w:effect w:val="none"/>
                </w:rPr>
                <w:t>78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250"/>
                <wp:effectExtent l="0" t="0" r="0" b="0"/>
                <wp:wrapNone/>
                <wp:docPr id="2" name="Frame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120"/>
        <w:jc w:val="both"/>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65"/>
        <w:gridCol w:w="2288"/>
        <w:gridCol w:w="2269"/>
        <w:gridCol w:w="211"/>
        <w:gridCol w:w="856"/>
        <w:gridCol w:w="109"/>
        <w:gridCol w:w="109"/>
        <w:gridCol w:w="109"/>
        <w:gridCol w:w="109"/>
        <w:gridCol w:w="220"/>
        <w:gridCol w:w="896"/>
        <w:gridCol w:w="164"/>
      </w:tblGrid>
      <w:tr>
        <w:trPr/>
        <w:tc>
          <w:tcPr>
            <w:tcW w:w="2865"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288,859 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6)</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$0.001 par value; 10,000 shares authorized; no shares issued or outstanding as of June 30, 2023 and December 31, 2022,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$0.001 par value; 400,000 shares authorized; 82,711 and 81,885 shares issued and outstanding as of June 30, 2023 and December 31, 2022,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841,413 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(581,633)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307,402 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pStyle w:val="TextBody"/>
        <w:bidi w:val="0"/>
        <w:spacing w:lineRule="auto" w:line="288" w:before="240" w:after="120"/>
        <w:jc w:val="both"/>
        <w:rPr>
          <w:rFonts w:ascii="Arial;sans-serif" w:hAnsi="Arial;sans-serif"/>
          <w:b w:val="false"/>
          <w:color w:val="000000"/>
          <w:sz w:val="20"/>
        </w:rPr>
      </w:pPr>
      <w:r>
        <w:rPr>
          <w:rFonts w:ascii="Arial;sans-serif" w:hAnsi="Arial;sans-serif"/>
          <w:b w:val="false"/>
          <w:color w:val="000000"/>
          <w:sz w:val="20"/>
        </w:rPr>
        <w:t>*The condensed consolidated balance sheet as of December 31, 2022 has been derived from the audited financial statements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250"/>
                <wp:effectExtent l="0" t="0" r="0" b="0"/>
                <wp:wrapNone/>
                <wp:docPr id="3"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1729"/>
        <w:gridCol w:w="1299"/>
        <w:gridCol w:w="1304"/>
        <w:gridCol w:w="211"/>
        <w:gridCol w:w="782"/>
        <w:gridCol w:w="109"/>
        <w:gridCol w:w="109"/>
        <w:gridCol w:w="109"/>
        <w:gridCol w:w="109"/>
        <w:gridCol w:w="211"/>
        <w:gridCol w:w="782"/>
        <w:gridCol w:w="109"/>
        <w:gridCol w:w="109"/>
        <w:gridCol w:w="109"/>
        <w:gridCol w:w="109"/>
        <w:gridCol w:w="211"/>
        <w:gridCol w:w="782"/>
        <w:gridCol w:w="109"/>
        <w:gridCol w:w="109"/>
        <w:gridCol w:w="109"/>
        <w:gridCol w:w="109"/>
        <w:gridCol w:w="211"/>
        <w:gridCol w:w="782"/>
        <w:gridCol w:w="109"/>
        <w:gridCol w:w="109"/>
        <w:gridCol w:w="109"/>
        <w:gridCol w:w="109"/>
        <w:gridCol w:w="157"/>
      </w:tblGrid>
      <w:tr>
        <w:trPr/>
        <w:tc>
          <w:tcPr>
            <w:tcW w:w="172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94,439 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108,889 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(47,067)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9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(38,261)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(46,519)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(85,908)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(78,969)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(0.46)</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(0.59)</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used to compute net loss per share, basic and diluted</w:t>
            </w:r>
          </w:p>
        </w:tc>
        <w:tc>
          <w:tcPr>
            <w:tcW w:w="993"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82,456 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79,270 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82,233 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78,650 </w:t>
            </w:r>
          </w:p>
        </w:tc>
        <w:tc>
          <w:tcPr>
            <w:tcW w:w="109"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center"/>
        <w:rPr/>
      </w:pPr>
      <w:r>
        <w:rPr/>
      </w:r>
    </w:p>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250"/>
                <wp:effectExtent l="0" t="0" r="0" b="0"/>
                <wp:wrapNone/>
                <wp:docPr id="4"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1596"/>
        <w:gridCol w:w="1352"/>
        <w:gridCol w:w="1364"/>
        <w:gridCol w:w="211"/>
        <w:gridCol w:w="787"/>
        <w:gridCol w:w="109"/>
        <w:gridCol w:w="109"/>
        <w:gridCol w:w="109"/>
        <w:gridCol w:w="109"/>
        <w:gridCol w:w="211"/>
        <w:gridCol w:w="787"/>
        <w:gridCol w:w="109"/>
        <w:gridCol w:w="109"/>
        <w:gridCol w:w="109"/>
        <w:gridCol w:w="109"/>
        <w:gridCol w:w="211"/>
        <w:gridCol w:w="787"/>
        <w:gridCol w:w="109"/>
        <w:gridCol w:w="109"/>
        <w:gridCol w:w="109"/>
        <w:gridCol w:w="109"/>
        <w:gridCol w:w="211"/>
        <w:gridCol w:w="787"/>
        <w:gridCol w:w="109"/>
        <w:gridCol w:w="109"/>
        <w:gridCol w:w="109"/>
        <w:gridCol w:w="109"/>
        <w:gridCol w:w="157"/>
      </w:tblGrid>
      <w:tr>
        <w:trPr/>
        <w:tc>
          <w:tcPr>
            <w:tcW w:w="159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(38,261)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(46,519)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(85,908)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(78,969)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gain, net of tax:</w:t>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(loss) gain on available-for-sale marketable securities</w:t>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(38,313)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(46,919)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(85,755)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center"/>
        <w:rPr/>
      </w:pPr>
      <w:r>
        <w:rPr/>
      </w:r>
    </w:p>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250"/>
                <wp:effectExtent l="0" t="0" r="0" b="0"/>
                <wp:wrapNone/>
                <wp:docPr id="5"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100" w:after="120"/>
        <w:jc w:val="center"/>
        <w:rPr/>
      </w:pPr>
      <w:r>
        <w:rPr/>
      </w:r>
    </w:p>
    <w:p>
      <w:pPr>
        <w:pStyle w:val="TextBody"/>
        <w:bidi w:val="0"/>
        <w:spacing w:before="100" w:after="120"/>
        <w:jc w:val="both"/>
        <w:rPr/>
      </w:pPr>
      <w:r>
        <w:rPr/>
      </w:r>
    </w:p>
    <w:tbl>
      <w:tblPr>
        <w:tblW w:w="10205" w:type="dxa"/>
        <w:jc w:val="left"/>
        <w:tblInd w:w="0" w:type="dxa"/>
        <w:tblLayout w:type="fixed"/>
        <w:tblCellMar>
          <w:top w:w="28" w:type="dxa"/>
          <w:left w:w="28" w:type="dxa"/>
          <w:bottom w:w="28" w:type="dxa"/>
          <w:right w:w="28" w:type="dxa"/>
        </w:tblCellMar>
      </w:tblPr>
      <w:tblGrid>
        <w:gridCol w:w="1046"/>
        <w:gridCol w:w="706"/>
        <w:gridCol w:w="712"/>
        <w:gridCol w:w="323"/>
        <w:gridCol w:w="323"/>
        <w:gridCol w:w="186"/>
        <w:gridCol w:w="109"/>
        <w:gridCol w:w="109"/>
        <w:gridCol w:w="109"/>
        <w:gridCol w:w="196"/>
        <w:gridCol w:w="331"/>
        <w:gridCol w:w="109"/>
        <w:gridCol w:w="109"/>
        <w:gridCol w:w="109"/>
        <w:gridCol w:w="109"/>
        <w:gridCol w:w="196"/>
        <w:gridCol w:w="738"/>
        <w:gridCol w:w="109"/>
        <w:gridCol w:w="109"/>
        <w:gridCol w:w="109"/>
        <w:gridCol w:w="109"/>
        <w:gridCol w:w="318"/>
        <w:gridCol w:w="711"/>
        <w:gridCol w:w="179"/>
        <w:gridCol w:w="109"/>
        <w:gridCol w:w="109"/>
        <w:gridCol w:w="109"/>
        <w:gridCol w:w="212"/>
        <w:gridCol w:w="838"/>
        <w:gridCol w:w="117"/>
        <w:gridCol w:w="109"/>
        <w:gridCol w:w="109"/>
        <w:gridCol w:w="109"/>
        <w:gridCol w:w="218"/>
        <w:gridCol w:w="822"/>
        <w:gridCol w:w="180"/>
      </w:tblGrid>
      <w:tr>
        <w:trPr/>
        <w:tc>
          <w:tcPr>
            <w:tcW w:w="10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 Equity</w:t>
            </w:r>
          </w:p>
        </w:tc>
      </w:tr>
      <w:tr>
        <w:trPr/>
        <w:tc>
          <w:tcPr>
            <w:tcW w:w="2464" w:type="dxa"/>
            <w:gridSpan w:val="3"/>
            <w:vMerge w:val="continue"/>
            <w:tcBorders/>
            <w:tcMar>
              <w:top w:w="0" w:type="dxa"/>
              <w:left w:w="0" w:type="dxa"/>
              <w:bottom w:w="0" w:type="dxa"/>
              <w:right w:w="0" w:type="dxa"/>
            </w:tcMar>
            <w:vAlign w:val="center"/>
          </w:tcPr>
          <w:p>
            <w:pPr>
              <w:pStyle w:val="Normal"/>
              <w:bidi w:val="0"/>
              <w:jc w:val="left"/>
              <w:rPr/>
            </w:pPr>
            <w:r>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(581,633)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259,560 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gain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82,056 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(629,280)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220,934 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participants in 401(k)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(38,261)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82,715 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(667,541)</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192,121 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both"/>
        <w:rPr/>
      </w:pPr>
      <w:r>
        <w:rPr/>
      </w:r>
    </w:p>
    <w:tbl>
      <w:tblPr>
        <w:tblW w:w="10205" w:type="dxa"/>
        <w:jc w:val="left"/>
        <w:tblInd w:w="0" w:type="dxa"/>
        <w:tblLayout w:type="fixed"/>
        <w:tblCellMar>
          <w:top w:w="28" w:type="dxa"/>
          <w:left w:w="28" w:type="dxa"/>
          <w:bottom w:w="28" w:type="dxa"/>
          <w:right w:w="28" w:type="dxa"/>
        </w:tblCellMar>
      </w:tblPr>
      <w:tblGrid>
        <w:gridCol w:w="1098"/>
        <w:gridCol w:w="725"/>
        <w:gridCol w:w="731"/>
        <w:gridCol w:w="323"/>
        <w:gridCol w:w="323"/>
        <w:gridCol w:w="186"/>
        <w:gridCol w:w="109"/>
        <w:gridCol w:w="109"/>
        <w:gridCol w:w="109"/>
        <w:gridCol w:w="196"/>
        <w:gridCol w:w="331"/>
        <w:gridCol w:w="109"/>
        <w:gridCol w:w="109"/>
        <w:gridCol w:w="109"/>
        <w:gridCol w:w="109"/>
        <w:gridCol w:w="196"/>
        <w:gridCol w:w="737"/>
        <w:gridCol w:w="109"/>
        <w:gridCol w:w="109"/>
        <w:gridCol w:w="109"/>
        <w:gridCol w:w="109"/>
        <w:gridCol w:w="264"/>
        <w:gridCol w:w="769"/>
        <w:gridCol w:w="147"/>
        <w:gridCol w:w="109"/>
        <w:gridCol w:w="109"/>
        <w:gridCol w:w="109"/>
        <w:gridCol w:w="208"/>
        <w:gridCol w:w="816"/>
        <w:gridCol w:w="115"/>
        <w:gridCol w:w="109"/>
        <w:gridCol w:w="109"/>
        <w:gridCol w:w="109"/>
        <w:gridCol w:w="213"/>
        <w:gridCol w:w="800"/>
        <w:gridCol w:w="174"/>
      </w:tblGrid>
      <w:tr>
        <w:trPr/>
        <w:tc>
          <w:tcPr>
            <w:tcW w:w="109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55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 Equity</w:t>
            </w:r>
          </w:p>
        </w:tc>
      </w:tr>
      <w:tr>
        <w:trPr/>
        <w:tc>
          <w:tcPr>
            <w:tcW w:w="2554" w:type="dxa"/>
            <w:gridSpan w:val="3"/>
            <w:vMerge w:val="continue"/>
            <w:tcBorders/>
            <w:tcMar>
              <w:top w:w="0" w:type="dxa"/>
              <w:left w:w="0" w:type="dxa"/>
              <w:bottom w:w="0" w:type="dxa"/>
              <w:right w:w="0" w:type="dxa"/>
            </w:tcMar>
            <w:vAlign w:val="center"/>
          </w:tcPr>
          <w:p>
            <w:pPr>
              <w:pStyle w:val="Normal"/>
              <w:bidi w:val="0"/>
              <w:jc w:val="left"/>
              <w:rPr/>
            </w:pPr>
            <w:r>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77,962 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(418,966)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335,647 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March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78,087 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(451,416)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311,137 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Open Market Sale Agreement,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17,403 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to participants in 401(k)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79,463 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791,014 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(497,935)</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292,081 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before="120" w:after="120"/>
        <w:jc w:val="center"/>
        <w:rPr/>
      </w:pPr>
      <w:r>
        <w:rPr/>
      </w:r>
    </w:p>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6"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533" w:type="dxa"/>
        <w:jc w:val="left"/>
        <w:tblInd w:w="0" w:type="dxa"/>
        <w:tblLayout w:type="fixed"/>
        <w:tblCellMar>
          <w:top w:w="28" w:type="dxa"/>
          <w:left w:w="28" w:type="dxa"/>
          <w:bottom w:w="28" w:type="dxa"/>
          <w:right w:w="28" w:type="dxa"/>
        </w:tblCellMar>
      </w:tblPr>
      <w:tblGrid>
        <w:gridCol w:w="2499"/>
        <w:gridCol w:w="2197"/>
        <w:gridCol w:w="2203"/>
        <w:gridCol w:w="211"/>
        <w:gridCol w:w="811"/>
        <w:gridCol w:w="109"/>
        <w:gridCol w:w="109"/>
        <w:gridCol w:w="109"/>
        <w:gridCol w:w="109"/>
        <w:gridCol w:w="211"/>
        <w:gridCol w:w="811"/>
        <w:gridCol w:w="154"/>
      </w:tblGrid>
      <w:tr>
        <w:trPr/>
        <w:tc>
          <w:tcPr>
            <w:tcW w:w="249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of discount) amortization of premium on marketable securities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non-cash expenses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receivable from collaboration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maturities of marketable securities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marketable securities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employee stock purchase plan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Open Market Sale Agreement,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period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disclosures of non-cash investing and financing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purchases not yet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Arial;sans-serif" w:hAnsi="Arial;sans-serif"/>
          <w:b w:val="false"/>
          <w:i/>
          <w:color w:val="000000"/>
          <w:sz w:val="20"/>
        </w:rPr>
      </w:pPr>
      <w:r>
        <w:rPr>
          <w:rFonts w:ascii="Arial;sans-serif" w:hAnsi="Arial;sans-serif"/>
          <w:b w:val="false"/>
          <w:i/>
          <w:color w:val="000000"/>
          <w:sz w:val="20"/>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7"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NGM BIOPHARMACEUTICALS,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NGM Biopharmaceuticals, Inc. and its wholly-owned subsidiary, NGM Biopharmaceuticals Australia Pty Ltd., or NGM Australia, collectively referred to as the Company, is a biopharmaceutical company focused on discovering and developing novel, potentially life-changing medicines based on scientific understanding of key biological pathways underlying grievous diseases with critical unmet or underserved patient need. The Company's portfolio of product candidates range from early discovery to Phase 2b development. </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was incorporated in Delaware in December 2007 and commenced operations in 2008. The Company's headquarters are located at 333 Oyster Point Blvd., South San Francisco, California 94080.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Basis of Presentation and Principles of Consolidation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U.S. generally accepted accounting principles, or U.S. GAAP, and Regulation S-X for interim consolidated financial statements. These unaudited condensed consolidated financial statements should be read in conjunction with the audited consolidated financial statements and notes for the year ended December 31, 2022 included in the Company’s Annual Report on Form 10-K for the year ended December 31, 2022 filed with the U.S Securities and Exchange Commission, or SEC, on February 28, 2023.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ending December 31, 2023, or for any subsequent interim period.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unaudited condensed consolidated financial statements include the consolidated accounts of NGM Biopharmaceuticals, Inc. and its wholly-owned foreign subsidiary, NGM Australia. All intercompany balances and transactions have been eliminated upon consolidation.</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preparation of unaudited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expense, contract manufacturing accruals, clinical trial accruals and revenue recognition in accordance with Accounting Standards Update, or ASU, 2014-09, Revenue from Contracts with Customers (Topic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management's estimates and actual results, the Company's future financial statement presentation, financial condition, results of operations and cash flows may be affected.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Sources and Uses of Liquidity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the Company has incurred net losses and negative cash flow from operations. During the three and six months ended June 30, 2023, net losses were $38.3 million and $85.9 million, respectively. As of June 30, 2023, the Company had an accumulated deficit of $667.5 million. The Company expects its accumulated deficit will continue to increase over time and does not expect to experience positive cash flows from operations in the near future.</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June 30, 2023, the Company had $193.5 million of cash, cash equivalents and short-term marketable securities. </w:t>
      </w:r>
    </w:p>
    <w:p>
      <w:pPr>
        <w:pStyle w:val="TextBody"/>
        <w:bidi w:val="0"/>
        <w:spacing w:lineRule="auto" w:line="288" w:before="240" w:after="120"/>
        <w:ind w:left="0" w:right="0" w:firstLine="720"/>
        <w:jc w:val="both"/>
        <w:rPr/>
      </w:pPr>
      <w:r>
        <w:rPr>
          <w:rFonts w:ascii="Arial;sans-serif" w:hAnsi="Arial;sans-serif"/>
          <w:b w:val="false"/>
          <w:color w:val="000000"/>
          <w:sz w:val="20"/>
        </w:rPr>
        <w:t>In June 2020, the Company entered into an Open Market Sale Agreement</w:t>
      </w:r>
      <w:r>
        <w:rPr>
          <w:rFonts w:ascii="Arial;sans-serif" w:hAnsi="Arial;sans-serif"/>
          <w:b w:val="false"/>
          <w:color w:val="000000"/>
          <w:sz w:val="13"/>
        </w:rPr>
        <w:t>SM</w:t>
      </w:r>
      <w:r>
        <w:rPr>
          <w:rFonts w:ascii="Arial;sans-serif" w:hAnsi="Arial;sans-serif"/>
          <w:b w:val="false"/>
          <w:color w:val="000000"/>
          <w:sz w:val="20"/>
        </w:rPr>
        <w:t xml:space="preserve">, or the Sales Agreement, with Jefferies LLC, or Jefferies, pursuant to which the Company may sell, from time to time, through or to Jefferies, up to an aggregate of $150.0 million of the Company’s common stock. On June 7, 2023, the Company entered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8"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pPr>
      <w:r>
        <w:rPr>
          <w:rFonts w:ascii="Arial;sans-serif" w:hAnsi="Arial;sans-serif"/>
          <w:b w:val="false"/>
          <w:color w:val="000000"/>
          <w:sz w:val="20"/>
        </w:rPr>
        <w:t>Amendment No. 1, or the Amendment, to the Sales Agreement with Jefferies, and the Sales Agreement as amended is referred to as the Amended Sales Agreement.</w:t>
      </w:r>
      <w:r>
        <w:rPr>
          <w:color w:val="000000"/>
        </w:rPr>
        <w:t xml:space="preserve"> </w:t>
      </w:r>
      <w:r>
        <w:rPr>
          <w:rFonts w:ascii="Arial;sans-serif" w:hAnsi="Arial;sans-serif"/>
          <w:b w:val="false"/>
          <w:color w:val="000000"/>
          <w:sz w:val="20"/>
        </w:rPr>
        <w:t xml:space="preserve">In connection with the Amendment, the Company filed a new shelf registration statement on Form S-3, or the New Registration Statement. The controlling provisions of the Amendment will become effective at the time the SEC declares the New Registration Statement effective. Following the effectiveness of the New Registration Statement, the Amended Sales Agreement will provide for the issuance and sales of shares of the Company's common stock having an aggregate offering price of up to $100.0 million through or to Jefferies, which amount includes any unsold shares of the Company's common stock previously available for sale under the Sales Agreement prior to the effectiveness of the New Registration Statement. As of June 30, 2023, $76.2 million of the Company's common stock remained available to be sold under the Sales Agreement, subject to conditions specified in the Sales Agreement. </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believes its existing cash, cash equivalents and short-term marketable securities will be sufficient to fund its operations for a period of at least one year from the issuance of these unaudited condensed consolidated financial statements.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To fully implement the Company’s business plan and fund its operations, the Company needs to raise significant additional capital through public or private equity or debt offerings (which may include potential net proceeds from future sales of the Company's common stock, if any, under the Amended Sales Agreement), collaboration, out licensing, partnership or other business development arrangements, or a combination of the foregoing. None may be possible and, as a result, the Company may need to significantly delay, scale back or discontinue development of or abandon some or all of its product candidates, or scale back or discontinue the Company's discovery research efforts, any of which could have a material adverse effect on the Company's business, operating results and prospects, or the Company may be required to cease operations altogether.</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carrying amounts of cash and cash equivalents, the related party receivable from collaboration and other current assets and liabilities approximate their respective fair values due to their short-term nature.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and cash equivalents are stated at fair value. Cash equivalents are securities with an original maturity of three months or less at the time of purchase. The Company limits its credit risk associated with cash and cash equivalents by investing in highly rated money market funds and placing its cash with banks it believes are highly creditworthy in amounts that may at times exceed Federal Deposit Insurance Corporation, or FDIC, limits. As of June 30, 2023 and December 31, 2022, cash and cash equivalents consisted of bank deposits and investments in money market funds. The Company’s bank deposits as of June 30, 2023 and December 31, 2022 included certain amounts over the FDIC limits.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Marketable Securities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loss as a separate component of stockholders’ equity. Interest income,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investments are regularly reviewed for any impairments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investment is impaired, the Company reduces the carrying value of the security it holds and records a loss for the amount of such decline. As of June 30, 2023, the Company did not record any impairments related to its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9"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restricted cash balances represent collateral required under the Company’s facility lease agreements. Collateral that will not be returned to the Company within twelve months from the date of these condensed consolidated financial statements is classified as a non-current asset.</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Concentration of Credit and Other Risks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cash equivalents and marketable securities from the Company’s available-for-sale and marketable securities portfolio potentially subject the Company to concentrations of credit risk. The Company is invested in money market funds and marketable securities through custodial relationships with major United States, or U.S., banks. Under its investment policy, the Company limits amounts invested in such securities by credit rating, maturity, industry group, investment type and issuer, except for securities issued by the U.S. government.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Related party receivables from collaboration and partnering arrangements are typically unsecured. Accordingly, the Company may be exposed to credit risk generally associated with its current amended and restated research collaboration, product development and license agreement, or the Amended Collaboration Agreement, with Merck Sharp &amp; Dohme LLC, or Merck, and any future collaboration or partnering arrangements with other potential future partners. To date, the Company has not experienced any losses related to these receivables.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Amounts recognized as revenue prior to the Company having an unconditional right (other than a right that is conditioned only on the passage of time) to receipt are recorded as contract assets in the Company's condensed consolidated balance sheets. Although the Company expects to have an unconditional right to receive such amounts, the Company may be exposed to the risk of not receiving the recorded amounts under its current collaboration agreement with Merck and any future collaboration or partnering arrangements with other potential future partners. To date, the Company has not experienced any losses related to contract assets.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Merck accounted for 100% of the Company’s revenue for the three and six months ended June 30, 2023 and 2022.</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Property and Equipment, Net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Property and equipment are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tbl>
      <w:tblPr>
        <w:tblW w:w="6960" w:type="dxa"/>
        <w:jc w:val="left"/>
        <w:tblInd w:w="0" w:type="dxa"/>
        <w:tblLayout w:type="fixed"/>
        <w:tblCellMar>
          <w:top w:w="28" w:type="dxa"/>
          <w:left w:w="28" w:type="dxa"/>
          <w:bottom w:w="28" w:type="dxa"/>
          <w:right w:w="28" w:type="dxa"/>
        </w:tblCellMar>
      </w:tblPr>
      <w:tblGrid>
        <w:gridCol w:w="1332"/>
        <w:gridCol w:w="1169"/>
        <w:gridCol w:w="1173"/>
        <w:gridCol w:w="958"/>
        <w:gridCol w:w="958"/>
        <w:gridCol w:w="1370"/>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32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Laboratory equipment and office furniture</w:t>
            </w:r>
          </w:p>
        </w:tc>
        <w:tc>
          <w:tcPr>
            <w:tcW w:w="32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36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Leasehold improvement</w:t>
            </w:r>
          </w:p>
        </w:tc>
        <w:tc>
          <w:tcPr>
            <w:tcW w:w="32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Shorter of life of asset or lease term</w:t>
            </w:r>
          </w:p>
        </w:tc>
      </w:tr>
    </w:tbl>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at inception. Lease assets represent the Company's right to use an underlying asset for the lease term and lease liabilities represent the Company's obligation to make lease payments arising from the lease. Lease liabilities are measured at the lease commencement date as the present value of future minimum lease payments over the term of the lease. Lease assets are measured as the lease liability plus initial direct costs and prepaid lease payments less lease incentives. In measuring the present value of the future minimum lease payments, the Company generally uses its incremental borrowing rate. The lease term is the noncancelable period of the lease and includes options to extend or terminate the lease when it is reasonably certain that an option will be exercised. Leases with terms of 12 months or less are not recorded on the Company's balance sheet. Lease expense is recognized on a straight-line basis over the lease terms, or in some cases, the useful life of the underlying asset. The Company accounts for the lease and non-lease components as a single lease component. The Company’s lease agreement for its corporate office space and facilities is classified as an operating lease.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Impairment of Long-Lived Assets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10"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its estimated undiscounted future cash flows, an impairment charge is recognized as the amount by which the carrying amount of the asset exceeds the estimated fair value of the asset. As of June 30, 2023 and December 31, 2022, no revision to the remaining useful lives or write-down of long-lived assets was required.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 The net deferred tax assets have been fully offset by a valuation allowance.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ASC 606, the Company estimates each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The unconstrained variable consideration amount included in the transaction price represents an amount for which it is probable that a significant reversal of cumulative revenue recognized will not occur.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or R&amp;D, services and (iii) non-mandatory services in connection with participation in research or steering committees. Payments received under these arrangements may include non-refundable upfront license fees, partial or complete reimbursement of R&amp;D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R&amp;D services performed under the collaboration agreement.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R&amp;D services or participation in research or steering committees, as well as whether options create material rights in the contract. In situations when a contract includes distinct R&amp;D services that are substantially the same and have the same pattern of transfer to the customer over time, they are recognized as a series of distinct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transaction price in each arrangement is generally comprised of a non-refundable upfront fee and unconstrained variable consideration related to the performance of R&amp;D services. The unconstrained variable consideration amount included in the transaction price represents an amount for which it is probable that a significant reversal of cumulative revenue recognized will not occur. The Company typically submits a budget for the R&amp;D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collaboration agreements may include contingent payments related to specified development and regulatory milestones or contingent payments for royalties based on sales of a commercialized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1"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 Company accounts for the contract modification as an add-on to the existing contract and as an adjustment to revenue on a cumulative catch-up basis.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R&amp;D costs are expensed as incurred. R&amp;D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R&amp;D activities as expenses when the goods have been received or when the service has been performed rather than when the payment is made.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Clinical trial costs are a component of R&amp;D expenses. The Company accrues estimated costs for its clinical trial activities performed by third parties, including clinical research organizations, or CROs, and other service providers based upon estimates of the proportion of work completed over the life of the individual clinical trial and patient enrollment rates in accordance with associated agreements. The Company's estimates are determined through detailed discussions with internal personnel and its service providers as to the progress of each clinical trial and by reviewing contracts, vendor agreements and purchase orders for previously agreed-upon rates and fees to be paid for such services.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stock-based compensation programs include stock option and restricted stock unit, or RSU, grants, as well as shares issued under its 2019 Employee Stock Purchase Plan, or ESPP. Grants are awarded to employees, directors and non-employees. The Company measures stock-based compensation expense for all stock-based awards at the grant date based on the fair value measurement of the award.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2"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Comprehensive Loss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Comprehensive loss is composed of net loss and certain changes in stockholders’ equity that are excluded from net loss, primarily unrealized gains or losses, net of taxes, on the Company’s marketable securities.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Net Loss per Share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Basic net loss per share is calculated by dividing net loss by the weighted average number of shares outstanding during the period, less shares subject to repurchase and excludes any dilutive effects of stock-based options and awards. Diluted net income per share is computed by giving effect to all potentially dilutive shares, including common stock issuable upon exercise of stock options and the assumed vesting of outstanding RSUs. However, where there is a diluted net loss per share, no adjustment is made for potentially issuable shares since their effect would be anti-dilutive. In this case, diluted net loss per share is equal to basic net loss per share.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Net loss per share was computed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573"/>
        <w:gridCol w:w="1385"/>
        <w:gridCol w:w="1392"/>
        <w:gridCol w:w="211"/>
        <w:gridCol w:w="777"/>
        <w:gridCol w:w="109"/>
        <w:gridCol w:w="109"/>
        <w:gridCol w:w="109"/>
        <w:gridCol w:w="109"/>
        <w:gridCol w:w="211"/>
        <w:gridCol w:w="777"/>
        <w:gridCol w:w="109"/>
        <w:gridCol w:w="109"/>
        <w:gridCol w:w="109"/>
        <w:gridCol w:w="109"/>
        <w:gridCol w:w="211"/>
        <w:gridCol w:w="777"/>
        <w:gridCol w:w="109"/>
        <w:gridCol w:w="109"/>
        <w:gridCol w:w="109"/>
        <w:gridCol w:w="109"/>
        <w:gridCol w:w="211"/>
        <w:gridCol w:w="777"/>
        <w:gridCol w:w="109"/>
        <w:gridCol w:w="109"/>
        <w:gridCol w:w="109"/>
        <w:gridCol w:w="109"/>
        <w:gridCol w:w="159"/>
      </w:tblGrid>
      <w:tr>
        <w:trPr/>
        <w:tc>
          <w:tcPr>
            <w:tcW w:w="15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used in calculating net loss per share—basic and diluted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share—basic and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(0.59)</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Potentially dilutive securities that were not included in the diluted per share calculations because they would be anti-dilutive were as follows (in thousands):</w:t>
      </w:r>
    </w:p>
    <w:tbl>
      <w:tblPr>
        <w:tblW w:w="6868" w:type="dxa"/>
        <w:jc w:val="left"/>
        <w:tblInd w:w="0" w:type="dxa"/>
        <w:tblLayout w:type="fixed"/>
        <w:tblCellMar>
          <w:top w:w="28" w:type="dxa"/>
          <w:left w:w="28" w:type="dxa"/>
          <w:bottom w:w="28" w:type="dxa"/>
          <w:right w:w="28" w:type="dxa"/>
        </w:tblCellMar>
      </w:tblPr>
      <w:tblGrid>
        <w:gridCol w:w="1169"/>
        <w:gridCol w:w="1024"/>
        <w:gridCol w:w="1031"/>
        <w:gridCol w:w="554"/>
        <w:gridCol w:w="342"/>
        <w:gridCol w:w="342"/>
        <w:gridCol w:w="342"/>
        <w:gridCol w:w="342"/>
        <w:gridCol w:w="342"/>
        <w:gridCol w:w="554"/>
        <w:gridCol w:w="342"/>
        <w:gridCol w:w="484"/>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and Six Months Ended</w:t>
              <w:br/>
              <w:t>June 30,</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2023</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2022</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16,024 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13,125 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committed under the ESPP</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17,773 </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13,610 </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Segment and Geographical Information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operates in one business segment. Substantially all of the Company’s long-lived assets, primarily comprised of property and equipment, are based in the United States. For the three and six months ended June 30, 2023 and 2022, the Company’s revenues were entirely within the United States based upon the location of the Company and Merck.</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3"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Cash equivalents and marketable securities are classified as available-for-sale securities and consisted of the following (in thousands):</w:t>
      </w:r>
    </w:p>
    <w:tbl>
      <w:tblPr>
        <w:tblW w:w="10205" w:type="dxa"/>
        <w:jc w:val="left"/>
        <w:tblInd w:w="0" w:type="dxa"/>
        <w:tblLayout w:type="fixed"/>
        <w:tblCellMar>
          <w:top w:w="28" w:type="dxa"/>
          <w:left w:w="28" w:type="dxa"/>
          <w:bottom w:w="28" w:type="dxa"/>
          <w:right w:w="28" w:type="dxa"/>
        </w:tblCellMar>
      </w:tblPr>
      <w:tblGrid>
        <w:gridCol w:w="1796"/>
        <w:gridCol w:w="1486"/>
        <w:gridCol w:w="1502"/>
        <w:gridCol w:w="211"/>
        <w:gridCol w:w="856"/>
        <w:gridCol w:w="109"/>
        <w:gridCol w:w="109"/>
        <w:gridCol w:w="109"/>
        <w:gridCol w:w="109"/>
        <w:gridCol w:w="296"/>
        <w:gridCol w:w="570"/>
        <w:gridCol w:w="155"/>
        <w:gridCol w:w="109"/>
        <w:gridCol w:w="109"/>
        <w:gridCol w:w="109"/>
        <w:gridCol w:w="268"/>
        <w:gridCol w:w="613"/>
        <w:gridCol w:w="140"/>
        <w:gridCol w:w="109"/>
        <w:gridCol w:w="109"/>
        <w:gridCol w:w="109"/>
        <w:gridCol w:w="211"/>
        <w:gridCol w:w="856"/>
        <w:gridCol w:w="155"/>
      </w:tblGrid>
      <w:tr>
        <w:trPr/>
        <w:tc>
          <w:tcPr>
            <w:tcW w:w="179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June 30, 2023</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Classified as: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marketable securities (amortized cost of $140,422)</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187,595 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45"/>
        <w:gridCol w:w="1516"/>
        <w:gridCol w:w="1523"/>
        <w:gridCol w:w="211"/>
        <w:gridCol w:w="856"/>
        <w:gridCol w:w="109"/>
        <w:gridCol w:w="109"/>
        <w:gridCol w:w="109"/>
        <w:gridCol w:w="109"/>
        <w:gridCol w:w="309"/>
        <w:gridCol w:w="551"/>
        <w:gridCol w:w="161"/>
        <w:gridCol w:w="109"/>
        <w:gridCol w:w="109"/>
        <w:gridCol w:w="109"/>
        <w:gridCol w:w="268"/>
        <w:gridCol w:w="613"/>
        <w:gridCol w:w="140"/>
        <w:gridCol w:w="109"/>
        <w:gridCol w:w="109"/>
        <w:gridCol w:w="109"/>
        <w:gridCol w:w="211"/>
        <w:gridCol w:w="856"/>
        <w:gridCol w:w="155"/>
      </w:tblGrid>
      <w:tr>
        <w:trPr/>
        <w:tc>
          <w:tcPr>
            <w:tcW w:w="174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Classified as: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marketable securities (amortized cost of $198,338)</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cash and cash equivalents amount in the table above excludes cash on deposit with banks of $5.9 million and $10.6 million as of June 30, 2023 and December 31, 2022, respectively.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To date, the Company has not recorded any impairment charges against the market value of its marketable securities. In determining whether an investment is impaired,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June 30, 2023 and December 31, 2022, all of the Company’s marketable securities had remaining contractual maturities of less than one year. As of June 30, 2023, the Company had 15 marketable securities in an unrealized loss position compared to 19 marketable securities in an unrealized loss position as of December 31, 2022. Marketable securities that had been in unrealized loss positions as of June 30, 2023 and December 31, 2022 were in an unrealized loss position for less than twelve months. The Company does not need to, nor does it intend to, sell marketable securities that are in an unrealized loss position, and it is highly unlikely that the Company will be required to sell the investments before recovery of their amortized cost basis, which may be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4"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Assets and Liabilities Measured at Fair Value on a Recurring Basis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by major security type, the Company's available-for-sale securities that were measured at fair value on a recurring basis and were categorized using the fair value hierarchy (in thousands):</w:t>
      </w:r>
    </w:p>
    <w:tbl>
      <w:tblPr>
        <w:tblW w:w="8354" w:type="dxa"/>
        <w:jc w:val="left"/>
        <w:tblInd w:w="0" w:type="dxa"/>
        <w:tblLayout w:type="fixed"/>
        <w:tblCellMar>
          <w:top w:w="28" w:type="dxa"/>
          <w:left w:w="28" w:type="dxa"/>
          <w:bottom w:w="28" w:type="dxa"/>
          <w:right w:w="28" w:type="dxa"/>
        </w:tblCellMar>
      </w:tblPr>
      <w:tblGrid>
        <w:gridCol w:w="1153"/>
        <w:gridCol w:w="1007"/>
        <w:gridCol w:w="1019"/>
        <w:gridCol w:w="211"/>
        <w:gridCol w:w="856"/>
        <w:gridCol w:w="109"/>
        <w:gridCol w:w="109"/>
        <w:gridCol w:w="109"/>
        <w:gridCol w:w="109"/>
        <w:gridCol w:w="211"/>
        <w:gridCol w:w="751"/>
        <w:gridCol w:w="109"/>
        <w:gridCol w:w="109"/>
        <w:gridCol w:w="109"/>
        <w:gridCol w:w="109"/>
        <w:gridCol w:w="211"/>
        <w:gridCol w:w="406"/>
        <w:gridCol w:w="109"/>
        <w:gridCol w:w="109"/>
        <w:gridCol w:w="109"/>
        <w:gridCol w:w="109"/>
        <w:gridCol w:w="211"/>
        <w:gridCol w:w="856"/>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June 30, 2023</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59" w:type="dxa"/>
        <w:jc w:val="left"/>
        <w:tblInd w:w="0" w:type="dxa"/>
        <w:tblLayout w:type="fixed"/>
        <w:tblCellMar>
          <w:top w:w="28" w:type="dxa"/>
          <w:left w:w="28" w:type="dxa"/>
          <w:bottom w:w="28" w:type="dxa"/>
          <w:right w:w="28" w:type="dxa"/>
        </w:tblCellMar>
      </w:tblPr>
      <w:tblGrid>
        <w:gridCol w:w="1152"/>
        <w:gridCol w:w="1011"/>
        <w:gridCol w:w="1016"/>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 of December 31, 2022</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agency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estimates the fair values of investments in commercial paper, corporate and agency bond securities and U.S. government agency securities using Level 2 inputs by taking into consideration valuations obtained from third-party pricing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were no transfers of assets or liabilities between the fair value measurement levels during the six months ended June 30, 2023 and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4. Balance Sheet Components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 reconciliation of cash, cash equivalents and restricted cash reported within the condensed consolidated balance sheets to the amount reported within the condensed consolidated statements of cash flows is as follows (in thousands):</w:t>
      </w:r>
    </w:p>
    <w:tbl>
      <w:tblPr>
        <w:tblW w:w="7098" w:type="dxa"/>
        <w:jc w:val="left"/>
        <w:tblInd w:w="0" w:type="dxa"/>
        <w:tblLayout w:type="fixed"/>
        <w:tblCellMar>
          <w:top w:w="28" w:type="dxa"/>
          <w:left w:w="28" w:type="dxa"/>
          <w:bottom w:w="28" w:type="dxa"/>
          <w:right w:w="28" w:type="dxa"/>
        </w:tblCellMar>
      </w:tblPr>
      <w:tblGrid>
        <w:gridCol w:w="1574"/>
        <w:gridCol w:w="1385"/>
        <w:gridCol w:w="1391"/>
        <w:gridCol w:w="211"/>
        <w:gridCol w:w="751"/>
        <w:gridCol w:w="109"/>
        <w:gridCol w:w="109"/>
        <w:gridCol w:w="109"/>
        <w:gridCol w:w="109"/>
        <w:gridCol w:w="255"/>
        <w:gridCol w:w="909"/>
        <w:gridCol w:w="186"/>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53,271 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73,456 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57,225 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77,410 </w:t>
            </w:r>
          </w:p>
        </w:tc>
        <w:tc>
          <w:tcPr>
            <w:tcW w:w="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5"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Property and Equipment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Property and equipment consisted of the following (in thousands):</w:t>
      </w:r>
    </w:p>
    <w:tbl>
      <w:tblPr>
        <w:tblW w:w="7127" w:type="dxa"/>
        <w:jc w:val="left"/>
        <w:tblInd w:w="0" w:type="dxa"/>
        <w:tblLayout w:type="fixed"/>
        <w:tblCellMar>
          <w:top w:w="28" w:type="dxa"/>
          <w:left w:w="28" w:type="dxa"/>
          <w:bottom w:w="28" w:type="dxa"/>
          <w:right w:w="28" w:type="dxa"/>
        </w:tblCellMar>
      </w:tblPr>
      <w:tblGrid>
        <w:gridCol w:w="1586"/>
        <w:gridCol w:w="1393"/>
        <w:gridCol w:w="1400"/>
        <w:gridCol w:w="211"/>
        <w:gridCol w:w="751"/>
        <w:gridCol w:w="109"/>
        <w:gridCol w:w="109"/>
        <w:gridCol w:w="109"/>
        <w:gridCol w:w="109"/>
        <w:gridCol w:w="255"/>
        <w:gridCol w:w="909"/>
        <w:gridCol w:w="186"/>
      </w:tblGrid>
      <w:tr>
        <w:trPr/>
        <w:tc>
          <w:tcPr>
            <w:tcW w:w="15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25,866 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Laboratory equipment and office furniture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23,807 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96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1,433 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Construction-in-progress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gross</w:t>
            </w:r>
          </w:p>
        </w:tc>
        <w:tc>
          <w:tcPr>
            <w:tcW w:w="9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51,548 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51,390 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(42,894)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8,496 </w:t>
            </w:r>
          </w:p>
        </w:tc>
        <w:tc>
          <w:tcPr>
            <w:tcW w:w="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Depreciation expense was $0.6 million and $1.2 million for the three and six months ended June 30, 2023, respectively, compared to $1.4 million and $2.8 million for the same periods in 2022.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Accrued Liabilities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Accrued liabilities consisted of the following (in thousands):</w:t>
      </w:r>
    </w:p>
    <w:tbl>
      <w:tblPr>
        <w:tblW w:w="7247" w:type="dxa"/>
        <w:jc w:val="left"/>
        <w:tblInd w:w="0" w:type="dxa"/>
        <w:tblLayout w:type="fixed"/>
        <w:tblCellMar>
          <w:top w:w="28" w:type="dxa"/>
          <w:left w:w="28" w:type="dxa"/>
          <w:bottom w:w="28" w:type="dxa"/>
          <w:right w:w="28" w:type="dxa"/>
        </w:tblCellMar>
      </w:tblPr>
      <w:tblGrid>
        <w:gridCol w:w="1630"/>
        <w:gridCol w:w="1433"/>
        <w:gridCol w:w="1436"/>
        <w:gridCol w:w="211"/>
        <w:gridCol w:w="751"/>
        <w:gridCol w:w="109"/>
        <w:gridCol w:w="109"/>
        <w:gridCol w:w="109"/>
        <w:gridCol w:w="109"/>
        <w:gridCol w:w="255"/>
        <w:gridCol w:w="909"/>
        <w:gridCol w:w="186"/>
      </w:tblGrid>
      <w:tr>
        <w:trPr/>
        <w:tc>
          <w:tcPr>
            <w:tcW w:w="16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2022</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Clinical trials and research and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Manufacturing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33,638 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5. Research Collaboration and License Agreements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Merck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2015, the Company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that was financially supported by Merck, and scientifically directed by the Company with input from Merck. The original research phase of the collaboration was for five years and was extended by Merck for an additional two years through March 2022. As part of that extension, Merck agreed to continue to fund up to $75.0 million of the Company's R&amp;D efforts each year consistent with the initial five-year research term and, in lieu of a $20.0 million extension fee payable to the Company, Merck agreed to make additional payments totaling up to $20.0 million in support of the Company's R&amp;D activities during 2021 through the first quarter of 2022.</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June 30, 2021, the Company entered into an amended and restated research collaboration, product development and license agreement with Merck, or the Amended Collaboration Agreement, replacing the Original Collaboration Agreement and extending the research phase of the collaboration generally through March 31, 2024, with possible extensions for each of the various programs to allow the Company or Merck to complete ongoing development, but with a narrower scope than in the Original Collaboration Agreement. Under the Amended Collaboration Agreement, the collaboration was focused primarily on the identification, research and development of collaboration compounds directed to targets of interest to Merck in the fields of ophthalmology and cardiovascular or metabolic, or CVM, disease, including heart failure. The collaboration scope also included certain laboratory testing and other activities on compounds that are directed to one of up to two undisclosed targets outside of the fields of ophthalmology and CVM disease, or the Lab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Currently, the only ongoing research activities to be funded under the Amended Collaboration Agreement are certain CVM-related activities. The research phase for the CVM-related continuing programs will continue until March 31, 2024, unless the parties mutually agree to extend the research phase to March 31, 2026, in which case Merck would provide up to a total of $20.0 million in research funding during those additional two years. Remaining activities under the Lab Programs were substantially completed in the first quarter of 2023. The ophthalmology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6"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compounds in the collaboration under the Amended Collaboration Agreement initially included NGM621 (and its related compounds) and compounds directed against two other undisclosed ophthalmology targets (and their related compounds). Merck had a one-time option to license NGM621, its related compounds and the ophthalmology bundle upon completion of the Phase 2 CATALINA trial. In December 2022, Merck notified the Company that it would not exercise its option to license NGM621 and its related compounds, nor would Merck exercise the related ophthalmology bundle option; accordingly, these options expired unexercised in January 2023 and the programs are now wholly-owned by the Company. Further, Merck did not elect for the Company to continue to conduct R&amp;D on any compounds from the Company's other ophthalmology programs that were subject to the collaboration, which are preclinical and directed to undisclosed targets. Such an election would have resulted in an extended or tail period in which Merck would continue to fund the Company's R&amp;D of such ophthalmology compounds. Because Merck did not exercise its ophthalmology license options or make such a tail period election, the programs are now wholly-owned by the Company and the Company does not have any funding from Merck to pursue such ophthalmology programs.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Pursuant to the Amended Collaboration Agreement, the Company gained the right, in its sole discretion, to independently research, develop and commercialize the collaboration compounds known as NGM120, NGM707, NGM831 and NGM438, their related compounds and all other preclinical and research assets that the Company researched or developed under the Original Collaboration Agreement but that were not included within the R&amp;D scope of the continuing collaboration, which are referred to as the released NGM compounds. Merck retained the right to receive royalties at low single-digit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Amended Collaboration Agreement, Merck continued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compounds (each such continuing collaboration compound and its related compounds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We do not expect any new CVM-related programs to be added to the collaboration.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Amended Collaboration Agreement, if Merck exercises the Merck license option for a continuing collaboration compound from a CVM-related continuing program or the Lab Programs, Merck will pay the Company a $6.0 million option exercise fee at the time of selection to progress such licensed continuing collaboration compound or any of its related compounds into preclinical development and an additional $10.0 million milestone payment if such continuing collaboration compounds or one of its related compounds subsequently completes a human proof-of-concept trial. Merck will be responsible, at its own cost, for any further development and commercialization activities for continuing collaboration compounds within any such licensed continuing program.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March 2022, the Company and Merck entered into a letter agreement, or the Letter Agreement, regarding NGM621 manufacturing activities that the Company undertook with the intention of avoiding a significant delay between the completion of the CATALINA trial and the start of any Phase 3 clinical trial for NGM621.</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concluded that the Amended Collaboration Agreement is a separate arrangement containing a three-year performance obligation to provide distinct R&amp;D services in accordance with ASC 606. The total transaction price under the Amended Collaboration Agreement is $118.9 million which includes $86.0 million in research funding for the four calendar quarters that ended on March 31, 2022, $15.3 million in research funding for the ophthalmology and CVM-related continuing programs and the Lab Programs during the remaining two years of the research phase after March 2022, $12.8 million in estimated NGM621 reimbursable expenses and costs during the remaining two years of the research phase after March 2022 and $4.75 million for reimbursable amounts paid in 2022 to a third-party manufacturer in accordance with the terms of the Letter Agreement. The Company will continue to re-evaluate the transaction price as uncertain events are resolved or other changes in circumstances occur. The Company continues performing its R&amp;D services in the area of both the continuing collaboration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7"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 For the period that started on July 1, 2023 and ends on March 31, 2024, the Company expects Merck will provide funding of only approximately $0.6 million in the aggregate for the ongoing CVM-related activities and for certain costs and reimbursements related to the NGM621 program and this amount is included in the transaction price.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considered whether the Merck license option created material rights in the contract and concluded that the fee attached to the exercise of such option approximated the SSP of the promised goods or services included in the option. Therefore, the Company concluded that such option did not give rise to a material right, was not a performance obligation in the Amended Collaboration Agreement and, if and when exercised, would be accounted for as separate arrangements under ASC 606.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Merck owned approximately 16% of the Company's outstanding shares as of June 30, 2023.</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Summary of Related Party Revenue</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 recognized revenue from its collaboration and license agreements as follows (in thousands):</w:t>
      </w:r>
    </w:p>
    <w:tbl>
      <w:tblPr>
        <w:tblW w:w="7456" w:type="dxa"/>
        <w:jc w:val="left"/>
        <w:tblInd w:w="0" w:type="dxa"/>
        <w:tblLayout w:type="fixed"/>
        <w:tblCellMar>
          <w:top w:w="28" w:type="dxa"/>
          <w:left w:w="28" w:type="dxa"/>
          <w:bottom w:w="28" w:type="dxa"/>
          <w:right w:w="28" w:type="dxa"/>
        </w:tblCellMar>
      </w:tblPr>
      <w:tblGrid>
        <w:gridCol w:w="734"/>
        <w:gridCol w:w="644"/>
        <w:gridCol w:w="64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For the three and six months ended June 30, 2023, the Company recognized collaboration and license revenue primarily related to reimbursable R&amp;D activities associated with the performance obligation under the Amended Collaboration Agreement under which Merck is providing significantly less annual R&amp;D funding than it had provided through March 31, 2022. Revenue recognized related to the reimbursable R&amp;D activities was recognized using the cost-based input model related to R&amp;D activities.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Related Party Contract Assets and Liabilities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Amounts recognized as revenue prior to the Company having an unconditional right (or a right that is conditioned only on the passage of time) to receipt are recorded as contract assets in the Company's condensed consolidated balance sheets. If the Company expects to have an unconditional right to receive the consideration in the next twelve months, the contract asset will be classified in current assets. As of June 30, 2023 and December 31, 2022, the Company did not have a related party contract asset.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Amounts received prior to satisfying the revenue recognition criteria are recorded as contract liabilities in the Company’s condensed consolidated balance sheets. If the related performance obligation is expected to be satisfied within the next twelve months, the contract liability will be classified in current liabilities. The Company recorded contract liabilities of $0.7 million and $0.4 million as of June 30, 2023 and December 31,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6. Commitments and Contingencies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Operating Leases and Lease Guarantee</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In December 2015, the Company entered into an operating lease agreement, or the 333 Oyster Point lease agreement, for its corporate office space and facilities at 333 Oyster Point Blvd., South San Francisco, California, or the 333 Oyster Point facility, for approximately 122,000 square feet that expires in December 2023. The 333 Oyster Point lease agreement provided a tenant improvement allowance of $15.2 million that the Company used in 2016 towards $22.3 million in total leasehold improvements that are amortized over the lease term of seven years. As of June 30, 2023, restricted cash in current assets on the Company's condensed consolidated balance sheets included a letter of credit in the amount of $1.5 million required under the 333 Oyster Point lease agreement.</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As of June 30, 2023, the remaining lease term for the 333 Oyster Point lease agreement was six months and the discount rate used to determine the Company's operating lease liability was 2.85%. Cash payments included in the measurement of the lease liabilities totaled $2.7 million and $2.6 million in the six-month periods ended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8"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2023 and June 30, 2022, the components of lease costs, which were included in general and administrative expenses on the Company's condensed consolidated statements of operations, were as follows (in thousands): </w:t>
      </w:r>
    </w:p>
    <w:tbl>
      <w:tblPr>
        <w:tblW w:w="6735" w:type="dxa"/>
        <w:jc w:val="left"/>
        <w:tblInd w:w="0" w:type="dxa"/>
        <w:tblLayout w:type="fixed"/>
        <w:tblCellMar>
          <w:top w:w="28" w:type="dxa"/>
          <w:left w:w="28" w:type="dxa"/>
          <w:bottom w:w="28" w:type="dxa"/>
          <w:right w:w="28" w:type="dxa"/>
        </w:tblCellMar>
      </w:tblPr>
      <w:tblGrid>
        <w:gridCol w:w="787"/>
        <w:gridCol w:w="693"/>
        <w:gridCol w:w="695"/>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1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costs (1)</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1,731 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60" w:after="120"/>
        <w:ind w:left="0" w:right="0" w:hanging="540"/>
        <w:jc w:val="both"/>
        <w:rPr>
          <w:rFonts w:ascii="Arial;sans-serif" w:hAnsi="Arial;sans-serif"/>
          <w:b w:val="false"/>
          <w:color w:val="000000"/>
          <w:sz w:val="16"/>
        </w:rPr>
      </w:pPr>
      <w:r>
        <w:rPr>
          <w:rFonts w:ascii="Arial;sans-serif" w:hAnsi="Arial;sans-serif"/>
          <w:b w:val="false"/>
          <w:color w:val="000000"/>
          <w:sz w:val="16"/>
        </w:rPr>
        <w:t>(1)Variable lease costs include certain additional charges for operating costs, including insurance, maintenance, taxes and other costs incurred, which are billed based on both usage and as a percentage of the Company’s share of total square footage.</w:t>
      </w:r>
    </w:p>
    <w:p>
      <w:pPr>
        <w:pStyle w:val="TextBody"/>
        <w:bidi w:val="0"/>
        <w:spacing w:lineRule="auto" w:line="288" w:before="180" w:after="120"/>
        <w:ind w:left="0" w:right="0" w:firstLine="720"/>
        <w:jc w:val="both"/>
        <w:rPr>
          <w:rFonts w:ascii="Arial;sans-serif" w:hAnsi="Arial;sans-serif"/>
          <w:b w:val="false"/>
          <w:color w:val="000000"/>
          <w:sz w:val="20"/>
        </w:rPr>
      </w:pPr>
      <w:r>
        <w:rPr>
          <w:rFonts w:ascii="Arial;sans-serif" w:hAnsi="Arial;sans-serif"/>
          <w:b w:val="false"/>
          <w:color w:val="000000"/>
          <w:sz w:val="20"/>
        </w:rPr>
        <w:t>As of June 30, 2023, the maturities of the Company’s operating lease liabilities and future minimum lease payments were as follows (in thousands):</w:t>
      </w:r>
    </w:p>
    <w:tbl>
      <w:tblPr>
        <w:tblW w:w="9126" w:type="dxa"/>
        <w:jc w:val="left"/>
        <w:tblInd w:w="0" w:type="dxa"/>
        <w:tblLayout w:type="fixed"/>
        <w:tblCellMar>
          <w:top w:w="28" w:type="dxa"/>
          <w:left w:w="28" w:type="dxa"/>
          <w:bottom w:w="28" w:type="dxa"/>
          <w:right w:w="28" w:type="dxa"/>
        </w:tblCellMar>
      </w:tblPr>
      <w:tblGrid>
        <w:gridCol w:w="2938"/>
        <w:gridCol w:w="2582"/>
        <w:gridCol w:w="2595"/>
        <w:gridCol w:w="211"/>
        <w:gridCol w:w="646"/>
        <w:gridCol w:w="154"/>
      </w:tblGrid>
      <w:tr>
        <w:trPr/>
        <w:tc>
          <w:tcPr>
            <w:tcW w:w="2938"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lease payments for the remainder of the year ending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present value adjustment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July 2022, the Company entered into an operating lease agreement, or the 2024 Lease Agreement, for its corporate office space and facilities at 333 Oyster Point Blvd., South San Francisco, California, which the Company currently occupies pursuant to a sublease agreement that is scheduled to expire on December 31, 2023. Pursuant to the 2024 Lease Agreement, the lease term with the new landlord begins on January 1, 2024 (the lease commencement date) and expires on December 31, 2033, and the Company will pay an initial monthly base rent of approximately $0.9 million for the first year, which is subject to increase at an annual rate of 3.5% each year thereafter, plus certain operating and tax expenses. Base rent during the initial ten-year term of the 2024 Lease Agreement will total $124.1 million. The 2024 Lease Agreement provides a tenant improvement allowance of approximately $4.9 million. The Company has an option to extend the 2024 Lease Agreement for a period of either eight years or ten years after the initial term. In July 2022, pursuant to the 2024 Lease Agreement, the Company provided the landlord with a letter of credit in the amount of $2.5 million that was reported as restricted cash in non-current assets on the Company's condensed consolidated balance sheets as of June 30, 2023 and December 31, 2022. </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Indemnification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9"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7. Stock-Based Compensation</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Stock Option Activity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the activity under the Company's equity incentive plans:</w:t>
      </w:r>
    </w:p>
    <w:tbl>
      <w:tblPr>
        <w:tblW w:w="10205" w:type="dxa"/>
        <w:jc w:val="left"/>
        <w:tblInd w:w="0" w:type="dxa"/>
        <w:tblLayout w:type="fixed"/>
        <w:tblCellMar>
          <w:top w:w="28" w:type="dxa"/>
          <w:left w:w="28" w:type="dxa"/>
          <w:bottom w:w="28" w:type="dxa"/>
          <w:right w:w="28" w:type="dxa"/>
        </w:tblCellMar>
      </w:tblPr>
      <w:tblGrid>
        <w:gridCol w:w="1424"/>
        <w:gridCol w:w="1242"/>
        <w:gridCol w:w="1251"/>
        <w:gridCol w:w="450"/>
        <w:gridCol w:w="446"/>
        <w:gridCol w:w="448"/>
        <w:gridCol w:w="122"/>
        <w:gridCol w:w="122"/>
        <w:gridCol w:w="122"/>
        <w:gridCol w:w="237"/>
        <w:gridCol w:w="729"/>
        <w:gridCol w:w="122"/>
        <w:gridCol w:w="109"/>
        <w:gridCol w:w="109"/>
        <w:gridCol w:w="109"/>
        <w:gridCol w:w="480"/>
        <w:gridCol w:w="480"/>
        <w:gridCol w:w="482"/>
        <w:gridCol w:w="109"/>
        <w:gridCol w:w="109"/>
        <w:gridCol w:w="109"/>
        <w:gridCol w:w="288"/>
        <w:gridCol w:w="886"/>
        <w:gridCol w:w="220"/>
      </w:tblGrid>
      <w:tr>
        <w:trPr/>
        <w:tc>
          <w:tcPr>
            <w:tcW w:w="142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91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w:t>
              <w:br/>
              <w:t>Intrinsic</w:t>
              <w:br/>
              <w:t>Value</w:t>
              <w:br/>
              <w:t>(In Thousands)</w:t>
            </w:r>
          </w:p>
        </w:tc>
      </w:tr>
      <w:tr>
        <w:trPr/>
        <w:tc>
          <w:tcPr>
            <w:tcW w:w="3917" w:type="dxa"/>
            <w:gridSpan w:val="3"/>
            <w:vMerge w:val="continue"/>
            <w:tcBorders/>
            <w:tcMar>
              <w:top w:w="0" w:type="dxa"/>
              <w:left w:w="0" w:type="dxa"/>
              <w:bottom w:w="0" w:type="dxa"/>
              <w:right w:w="0" w:type="dxa"/>
            </w:tcMar>
            <w:vAlign w:val="center"/>
          </w:tcPr>
          <w:p>
            <w:pPr>
              <w:pStyle w:val="Normal"/>
              <w:bidi w:val="0"/>
              <w:jc w:val="left"/>
              <w:rPr/>
            </w:pPr>
            <w:r>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 xml:space="preserve">Options </w:t>
              <w:br/>
              <w:t>(In Thousands)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December 31, 2022</w:t>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14,215 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granted</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exercised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forfeited</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expired</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June 30, 2023</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16,024 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 and expected to vest at June 30, 2023</w:t>
            </w:r>
          </w:p>
        </w:tc>
        <w:tc>
          <w:tcPr>
            <w:tcW w:w="8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15,556 </w:t>
            </w:r>
          </w:p>
        </w:tc>
        <w:tc>
          <w:tcPr>
            <w:tcW w:w="4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2023</w:t>
            </w:r>
          </w:p>
        </w:tc>
        <w:tc>
          <w:tcPr>
            <w:tcW w:w="8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9,303 </w:t>
            </w:r>
          </w:p>
        </w:tc>
        <w:tc>
          <w:tcPr>
            <w:tcW w:w="4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14.51 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aggregate intrinsic values of options outstanding, vested and expected to vest, and exercisable were calculated as the difference between the exercise price of the options and the estimated fair value of the Company’s common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weighted-average grant date fair value of stock options granted during the six months ended June 30, 2023 was $3.13 per share.</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Employee Stock Purchase Plan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ESPP is considered a compensatory plan. As of June 30, 2023, 1,087,768 shares of common stock had been purchased under the ESPP.</w:t>
      </w:r>
    </w:p>
    <w:p>
      <w:pPr>
        <w:pStyle w:val="TextBody"/>
        <w:bidi w:val="0"/>
        <w:spacing w:lineRule="auto" w:line="288" w:before="240" w:after="120"/>
        <w:jc w:val="left"/>
        <w:rPr>
          <w:rFonts w:ascii="Arial;sans-serif" w:hAnsi="Arial;sans-serif"/>
          <w:b/>
          <w:i/>
          <w:color w:val="000000"/>
          <w:sz w:val="20"/>
        </w:rPr>
      </w:pPr>
      <w:r>
        <w:rPr>
          <w:rFonts w:ascii="Arial;sans-serif" w:hAnsi="Arial;sans-serif"/>
          <w:b/>
          <w:i/>
          <w:color w:val="000000"/>
          <w:sz w:val="20"/>
        </w:rPr>
        <w:t xml:space="preserve">Restricted Stock Units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three and six months ended June 30, 2023, the Company granted 1.0 million RSUs covering an equal number of shares of the Company's common stock to employees with a weighted-average grant date fair value of $4.36 per RSU. The fair value of RSUs is determined on the date of grant based on the market price of the Company's common stock as of that date. The fair value of the RSUs is recognized as an expense ratably over the vesting period of four years. No shares underlying the RSUs have vested or been released as of June 30, 2023.</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Stock-based compensation expense was calculated based on awards previously granted to employees, directors and non-employees that are ultimately expected to vest and was reduced for estimated forfeitures.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20"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Stock-based compensation expense was allocated as follows (in thousands):</w:t>
      </w:r>
    </w:p>
    <w:tbl>
      <w:tblPr>
        <w:tblW w:w="8849" w:type="dxa"/>
        <w:jc w:val="left"/>
        <w:tblInd w:w="0" w:type="dxa"/>
        <w:tblLayout w:type="fixed"/>
        <w:tblCellMar>
          <w:top w:w="28" w:type="dxa"/>
          <w:left w:w="28" w:type="dxa"/>
          <w:bottom w:w="28" w:type="dxa"/>
          <w:right w:w="28" w:type="dxa"/>
        </w:tblCellMar>
      </w:tblPr>
      <w:tblGrid>
        <w:gridCol w:w="1358"/>
        <w:gridCol w:w="1194"/>
        <w:gridCol w:w="1197"/>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7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Stock-based compensation expense for the three and six months ended June 30, 2023 included $0.7 million in restructuring charges. See Note 9 for information regarding the Company's workforce reduction in the second quarter of 2023.</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June 30, 2023, total compensation cost not yet recognized related to unvested stock options was $39.2 million, which is expected to be recognized over a weighted-average period of 2.2 years. As of June 30, 2023, total compensation cost not yet recognized related to unvested RSUs was $2.5 million, which is expected to be recognized over a weighted-average period of 3.5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8. Income Taxes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the Company has incurred net losses, and the Company expects to record a net loss for the year ending December 31, 2023. Additionally, the Company’s net deferred tax assets have been fully offset by a valuation allowance. Therefore, the Company did not record a tax provision for income taxes for the three and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9. Workforce Reduction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second quarter of 2023, the Company announced and substantially completed a restructuring of the Company's workforce pursuant to which the Company’s workforce was reduced by 74 people, or approximately 33% of the Company’s existing headcount as of April 3, 2023. The execution of the restructuring was substantially completed by the end of the second quarter of 2023. The Company incurred approximately $5.0 million in restructuring charges in connection with the restructuring, consisting of (i) approximately $4.3 million in cash-based expenses related to employee severance and notice period payments, benefits and related costs, and (ii) approximately $0.7 million in non-cash stock-based compensation expense related to the vesting of share-based awards.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restructuring charges were included in the Company's condensed consolidated statements of income for the three and six months ended June 30, 2023 as follows (in thousands):</w:t>
      </w:r>
    </w:p>
    <w:tbl>
      <w:tblPr>
        <w:tblW w:w="5070" w:type="dxa"/>
        <w:jc w:val="left"/>
        <w:tblInd w:w="0" w:type="dxa"/>
        <w:tblLayout w:type="fixed"/>
        <w:tblCellMar>
          <w:top w:w="28" w:type="dxa"/>
          <w:left w:w="28" w:type="dxa"/>
          <w:bottom w:w="28" w:type="dxa"/>
          <w:right w:w="28" w:type="dxa"/>
        </w:tblCellMar>
      </w:tblPr>
      <w:tblGrid>
        <w:gridCol w:w="902"/>
        <w:gridCol w:w="793"/>
        <w:gridCol w:w="795"/>
        <w:gridCol w:w="538"/>
        <w:gridCol w:w="1649"/>
        <w:gridCol w:w="393"/>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and Six Months Ended</w:t>
              <w:br/>
              <w:t>June 30, 2023</w:t>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5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3,864 </w:t>
            </w:r>
          </w:p>
        </w:tc>
        <w:tc>
          <w:tcPr>
            <w:tcW w:w="39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expense</w:t>
            </w:r>
          </w:p>
        </w:tc>
        <w:tc>
          <w:tcPr>
            <w:tcW w:w="53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4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4,999 </w:t>
            </w:r>
          </w:p>
        </w:tc>
        <w:tc>
          <w:tcPr>
            <w:tcW w:w="3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restructuring charges were incurred in the second quarter of 2023, and cash payments were substantially completed by the end of the second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1"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240" w:after="120"/>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(1) the unaudited condensed consolidated financial statements and notes to the condensed consolidated financial statements included elsewhere in this Quarterly Report on Form 10-Q and (2) the audited consolidated financial statements and related notes and management’s discussion and analysis of financial condition and results of operations for the fiscal year ended December 31, 2022 included in our Annual Report on Form 10-K filed with the U.S. Securities and Exchange Commission, or SEC, on February 28, 2023, or the 2022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"aspire," “believe,” “continue,” “could,” “estimate,” “expect,” “intend,” “may,” “plan,” “potential,” “predict,” “should,” “will” or the negative of these terms or other similar expressions.</w:t>
      </w:r>
    </w:p>
    <w:p>
      <w:pPr>
        <w:pStyle w:val="TextBody"/>
        <w:bidi w:val="0"/>
        <w:spacing w:lineRule="auto" w:line="288" w:before="240" w:after="120"/>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"we expect," "we anticipate"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Overview of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 biopharmaceutical company focused on discovering and developing novel, potentially life-changing medicines based on scientific understanding of key biological pathways underlying grievous diseases with critical unmet or underserved patient need. These diseases represent a significant burden for patients and healthcare systems and, in some cases, are leading causes of morbidity and mortality. Since the commencement of our operations in 2008, we have generated a portfolio of product candidates ranging from early discovery to Phase 2b development. Our biology-centric drug discovery approach is therapeutic area agnostic and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discovery engine, led by biology and motivated by patient need.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pipeline is currently divided into two categories with separate approaches to development strategy and resource allocation in an effort designed to enable more of the product candidates in our pipeline to be advanced as effectively and efficiently as possible. To that end, we recently have been focusing most of our execution efforts and resources on advancing our clinical-stage solid tumor oncology programs to potentially rapid proof of concept. For our other programs that are in therapeutic areas where clinical development is relatively resource intensive and can have long timelines to generate proof-of-concept data, due to the need to conserve capital and prioritize focused execution, we are seeking collaboration, out licensing, partnership or other business development arrangements, or BD Arrangements, with third-party partners with sufficient resources and relevant domain expertise in order to further their development.</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 xml:space="preserve">Pipeline Programs and Operational Updates </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Programs in Active Development — Solid Tumor Oncology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recently have been focusing most of our execution efforts and resources on our four solid tumor oncology programs, NGM707, NGM831, NGM438 and NGM120. We believe our solid tumor oncology programs offer development paths that are relatively resource efficient and have the potential to generate clinical proof-of-concept data more rapidly than certain other indications, although we may in the future pursue development of programs in other therapeutic areas. While we have been investing our resources to advance development of our solid tumor oncology programs, we will opportunistically consider BD Arrangements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solid tumor oncology product candidates are wholly-owned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2"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NGM707</w:t>
      </w:r>
      <w:r>
        <w:rPr>
          <w:rFonts w:ascii="Arial;sans-serif" w:hAnsi="Arial;sans-serif"/>
          <w:b w:val="false"/>
          <w:color w:val="000000"/>
          <w:sz w:val="20"/>
        </w:rPr>
        <w:t>. NGM707</w:t>
      </w:r>
      <w:r>
        <w:rPr>
          <w:rFonts w:ascii="Arial;sans-serif" w:hAnsi="Arial;sans-serif"/>
          <w:b w:val="false"/>
          <w:color w:val="0E32E1"/>
          <w:sz w:val="20"/>
        </w:rPr>
        <w:t>,</w:t>
      </w:r>
      <w:r>
        <w:rPr>
          <w:color w:val="000000"/>
        </w:rPr>
        <w:t xml:space="preserve"> </w:t>
      </w:r>
      <w:r>
        <w:rPr>
          <w:rFonts w:ascii="Arial;sans-serif" w:hAnsi="Arial;sans-serif"/>
          <w:b w:val="false"/>
          <w:color w:val="000000"/>
          <w:sz w:val="20"/>
        </w:rPr>
        <w:t xml:space="preserve">the lead asset in our myeloid reprogramming and checkpoint inhibition portfolio, is a dual antagonist monoclonal antibody that is designed to improve patient immune responses to tumors by inhibiting both Immunoglobulin-like transcript 2, or ILT2 (also known as LILRB1), and Immunoglobulin-like transcript 4, or ILT4 (also known as LILRB2) receptors. We believe NGM707 has the potential to reprogram ILT4- and ILT2-expressing myeloid cells to shift them from a suppressive state that restricts anti-tumor immunity to a stimulatory state that may promote anti-tumor immunity. Blocking ILT2 also may reverse inhibition of ILT2-expressing lymphoid cells to further stimulate anti-tumor immune responses.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We are conducting an open-label Phase 1/2 clinical trial evaluating NGM707 as a monotherapy and in combination with KEYTRUDA® (pembrolizumab) for the treatment of patients with advanced or metastatic solid tumors.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 Phase 1, Part 1a cohort evaluating NGM707 as a monotherapy was initiated in 2021 and a Phase 1, Part 1b cohort evaluating NGM707 in combination with pembrolizumab was initiated in 2022. Two Phase 2 expansion cohorts evaluating NGM707 in combination with pembrolizumab in specific tumor types were initiated in the first quarter of 2023.</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NGM831</w:t>
      </w:r>
      <w:r>
        <w:rPr>
          <w:rFonts w:ascii="Arial;sans-serif" w:hAnsi="Arial;sans-serif"/>
          <w:b w:val="false"/>
          <w:color w:val="000000"/>
          <w:sz w:val="20"/>
        </w:rPr>
        <w:t xml:space="preserve">. NGM831 is an antagonist antibody that is designed to block the interaction of the Immunoglobulin-like transcript 3, or ILT3 (also known as LILRB4) receptor, </w:t>
      </w:r>
      <w:r>
        <w:rPr>
          <w:rFonts w:ascii="Arial;sans-serif" w:hAnsi="Arial;sans-serif"/>
          <w:b w:val="false"/>
          <w:color w:val="000000"/>
          <w:sz w:val="20"/>
          <w:shd w:fill="FFFFFF" w:val="clear"/>
        </w:rPr>
        <w:t xml:space="preserve">with fibronectin, as well as other cognate ligands. </w:t>
      </w:r>
      <w:r>
        <w:rPr>
          <w:rFonts w:ascii="Arial;sans-serif" w:hAnsi="Arial;sans-serif"/>
          <w:b w:val="false"/>
          <w:color w:val="000000"/>
          <w:sz w:val="20"/>
        </w:rPr>
        <w:t>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are conducting an open-label Phase 1/1b clinical trial to evaluate NGM831 as a monotherapy and in combination with pembrolizumab for the treatment of patients with advanced or metastatic solid tumors. A Phase 1, Part 1a cohort evaluating NGM831 as a monotherapy and a Phase 1, Part 1b cohort evaluating NGM831 in combination with pembrolizumab were initiated in 2022. Both cohorts are ongoing.</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NGM438</w:t>
      </w:r>
      <w:r>
        <w:rPr>
          <w:rFonts w:ascii="Arial;sans-serif" w:hAnsi="Arial;sans-serif"/>
          <w:b w:val="false"/>
          <w:color w:val="000000"/>
          <w:sz w:val="20"/>
        </w:rPr>
        <w:t>. NGM438 is an antagonist antibody that is designed to inhibit leukocyte-associated immunoglobulin-like receptor 1, or LAIR1, and thereby promote anti-tumor immune responses. NGM438 has the potential to potently block the binding of all collagens to LAIR1, including tumor-derived collagens. Collagens produced by the tumor stroma, meaning the non-malignant, non-immune components of the tumor, are believed to bind LAIR1 to create an immuno-suppressive tumor microenvironment.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We are conducting an open-label, Phase 1/1b clinical trial to evaluate NGM438 as a monotherapy and in combination with pembrolizumab for the treatment of patients with advanced or metastatic solid tumors. A Phase 1, Part 1a cohort evaluating NGM438 as a monotherapy and a Phase 1, Part 1b cohort evaluating NGM438 in combination with pembrolizumab were initiated in 2022. Both cohorts are ongoing.</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NGM120</w:t>
      </w:r>
      <w:r>
        <w:rPr>
          <w:rFonts w:ascii="Arial;sans-serif" w:hAnsi="Arial;sans-serif"/>
          <w:b w:val="false"/>
          <w:color w:val="000000"/>
          <w:sz w:val="20"/>
        </w:rPr>
        <w:t xml:space="preserve">. NGM120 is an antagonist antibody that binds to glial cell-derived neurotrophic factor receptor alpha-like, or GFRAL, and is designed to block the effects of elevated serum levels of growth differentiation factor 15, or GDF15. We designed NGM120 as a potent, humanized monoclonal antibody inhibitor of GFRAL with the potential for once-monthly or less frequent dosing. Preclinical studies suggest that NGM120 may reduce tumor growth and improve survival in syngeneic orthotopic pancreatic tumor models in mice.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We are conducting a Phase 1/2 clinical trial to assess NGM120’s effect on cancer and cancer-related cachexia in patients with select advanced solid tumors, metastatic pancreatic cancer and metastatic castration-resistant prostate cancer, or mCRPC.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trial includes: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 xml:space="preserve">a Phase 1a cohort evaluating NGM120 as a monotherapy in patients with select advanced solid tumors,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3"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 Phase 1b cohort evaluating NGM120 in combination with gemcitabine and Nab-paclitaxel in patients with metastatic pancreatic cancer,</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an additional Phase 1b cohort testing NGM120 in combination with one or more lines of hormone therapies in patients with mCRPC,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 Phase 2 cohort evaluating NGM120 in combination with gemcitabine and Nab-paclitaxel as first-line treatment in patients with metastatic pancreatic cancer (referred to as the PINNACLES</w:t>
      </w:r>
      <w:r>
        <w:rPr>
          <w:color w:val="000000"/>
        </w:rPr>
        <w:t xml:space="preserve"> </w:t>
      </w:r>
      <w:r>
        <w:rPr>
          <w:rFonts w:ascii="Arial;sans-serif" w:hAnsi="Arial;sans-serif"/>
          <w:b w:val="false"/>
          <w:color w:val="000000"/>
          <w:sz w:val="22"/>
        </w:rPr>
        <w:t>trial)</w:t>
      </w:r>
      <w:r>
        <w:rPr>
          <w:rFonts w:ascii="Arial;sans-serif" w:hAnsi="Arial;sans-serif"/>
          <w:b w:val="false"/>
          <w:color w:val="000000"/>
          <w:sz w:val="20"/>
        </w:rPr>
        <w: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All four cohorts have completed enrollment.</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Additional Programs Currently Without Significant Resource Allocation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need to conserve capital and prioritize focused execution, the remainder of our pipeline includes programs whose further development is primarily dependent on our ability to secure potential future BD Arrangements. These programs are in therapeutic areas where clinical development is relatively resource intensive and can have long timelines to generate proof-of-concept data. As a result, we are seeking BD Arrangements with third-party partners possessing sufficient resources and relevant domain expertise in the relevant therapeutic area in order to further clinical development of these programs. In the absence of such BD Arrangements for these programs, we are unlikely to be able to advance their development unless our portfolio prioritization changes and we are able to secure the additional capital necessary to fund such development. These programs are set forth below:</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NGM621</w:t>
      </w:r>
      <w:r>
        <w:rPr>
          <w:rFonts w:ascii="Arial;sans-serif" w:hAnsi="Arial;sans-serif"/>
          <w:b w:val="false"/>
          <w:color w:val="000000"/>
          <w:sz w:val="20"/>
        </w:rPr>
        <w:t xml:space="preserve">. NGM621 is a humanized Immunoglobulin 1, or IgG1, monoclonal antibody administered via intravitreal, or IVT, injection. NGM621 was engineered to potently bind to, and be a long-acting inhibitor of, complement C3 with the treatment goal of reducing the rate of disease progression in patients with geographic atrophy, or GA, secondary to age-related macular degeneration, or AMD. </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 xml:space="preserve">Aldafermin. </w:t>
      </w:r>
      <w:r>
        <w:rPr>
          <w:rFonts w:ascii="Arial;sans-serif" w:hAnsi="Arial;sans-serif"/>
          <w:b w:val="false"/>
          <w:color w:val="000000"/>
          <w:sz w:val="20"/>
        </w:rPr>
        <w:t>Aldafermin is an engineered analog of human hormone fibroblast growth factor 19, or FGF19, that is administered through a once-daily subcutaneous injection. Aldafermin is wholly-owned by us. In May 2023, we reported topline data from the Phase 2b ALPINE 4 trial of aldafermin in 160 patients with compensated cirrhosis due to non-alcoholic steatohepatitis, or NASH (liver fibrosis stage 4, or F4, by the NASH Clinical Research Network classification). The 48-week trial assessed the efficacy, safety and tolerability of 0.3 mg, 1 mg and 3 mg doses of aldafermin compared to placebo. The primary objective of the ALPINE 4 study was to evaluate the impact on Enhanced Liver Fibrosis, or ELF, score at week 48. The ELF score is a reproducible, quantitative non-invasive liver prognostic test that evaluates liver fibrosis and correlates to liver-related outcomes. The study met its primary endpoint with a statistically significant reduction in ELF score from baseline to week 48 in patients treated with 3 mg of aldafermin versus patients receiving placebo. Patients receiving 3 mg of aldafermin had a 0.5 point greater reduction in ELF at week 48 compared to patients receiving placebo (p-value=0.0003). On the secondary endpoint of fibrosis improvement of ≥1 stage (for which the trial was not statistically powered), 21% (p-value=0.39) and 23% (p-value=0.36) of patients in the 1 mg and 3 mg cohorts, respectively, achieved fibrosis improvement versus 15% in the placebo cohort at week 48. A 0.3 mg aldafermin cohort was part of the original design of the trial and enrolled 7 patients prior to being discontinued in favor of enrolling more patients in the 1 mg and 3 mg arms of the trial. Patients in the 0.3 mg arm were primarily evaluated for safety. Aldafermin was generally well tolerated with no treatment-related serious adverse events and a safety and tolerability profile generally consistent with prior trials of aldafermin, including higher levels of gastrointestinal events in patients treated with aldafermin as compared to patients treated with placebo. In May 2023, we also announced positive data from a Phase 2 investigator-sponsored trial of aldafermin for the treatment of patients with diarrhea-predominant irritable bowel syndrome, or IBS-D, and bile acid malabsorption, or BAM, at Digestive Disease Week 2023. Aldafermin demonstrated statistically significant reductions in serum 7αC4 (a marker of bile acid synthesis) and fecal bile acids versus placebo in patients in the trial with idiopathic BAM with IBS-D.</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NGM313 (MK-3655)</w:t>
      </w:r>
      <w:r>
        <w:rPr>
          <w:rFonts w:ascii="Arial;sans-serif" w:hAnsi="Arial;sans-serif"/>
          <w:b w:val="false"/>
          <w:color w:val="000000"/>
          <w:sz w:val="20"/>
        </w:rPr>
        <w:t xml:space="preserve">. NGM313 (MK-3655) is an agonistic antibody discovered by us that selectively activates fibroblast growth factor receptor 1c-beta-klotho, or FGFR1c/KLB, which regulates insulin sensitivity, blood glucose and liver fat and is administered every four weeks through a subcutaneous injection. NGM313 (MK-3655) was licensed by Merck in November 2018 and was being developed by Merck in patients with NASH and liver fibrosis stage 2 or 3. In April 2023, the license rights granted to Merck with respect to NGM313 (MK-3655) reverted to us and the program is now wholly-owned by us. </w:t>
      </w:r>
    </w:p>
    <w:p>
      <w:pPr>
        <w:pStyle w:val="TextBody"/>
        <w:bidi w:val="0"/>
        <w:spacing w:lineRule="auto" w:line="288" w:before="120" w:after="120"/>
        <w:ind w:left="0" w:right="0" w:hanging="360"/>
        <w:jc w:val="both"/>
        <w:rPr/>
      </w:pPr>
      <w:r>
        <w:rPr>
          <w:color w:val="000000"/>
        </w:rPr>
        <w:t>•</w:t>
      </w:r>
      <w:r>
        <w:rPr>
          <w:rFonts w:ascii="Arial;sans-serif" w:hAnsi="Arial;sans-serif"/>
          <w:b/>
          <w:color w:val="000000"/>
          <w:sz w:val="20"/>
        </w:rPr>
        <w:t xml:space="preserve">NGM936. </w:t>
      </w:r>
      <w:r>
        <w:rPr>
          <w:rFonts w:ascii="Arial;sans-serif" w:hAnsi="Arial;sans-serif"/>
          <w:b w:val="false"/>
          <w:color w:val="000000"/>
          <w:sz w:val="20"/>
        </w:rPr>
        <w:t xml:space="preserve">NGM936 is a bispecific T cell engager therapeutic candidate for the treatment of hematologic malignancies that targets ILT3 and cluster of differentiation 3, or CD3. NGM936 is designed to direct T cell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4"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mediated killing of ILT3-positive cancer cells while sparing normal hematopoietic stem cells, or HSCs, and minimizing CD3-driven cytokine release. ILT3, a myeloid-cell restricted receptor, has enriched expression in myelomonocytic leukemia, monocytic leukemia and leukemia stem cells but is not expressed on healthy HSCs. This expression profile of ILT3 may make it an effective target for the treatment of monocytic acute myeloid leukemia, or AML, and multiple myeloma. NGM936 has been evaluated in preclinical studies, where it has demonstrated the ability to potently kill ILT3+ AML cells, kill ILT3+ multiple myeloma cells and preserve healthy bone marrow cells.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additional programs that are in various stages of development ranging from functional validation to preclinical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 of each of our product candidates may be affected by numerous factors, including preclinical data, clinical data, competition, manufacturing capability, sales capability, any future BD Arrangements, the sufficiency of our cash resources, regulatory matters, third-party payor matters and commercial viability. We do not have any products approved for sale and do not anticipate generating revenue from product sales for the foreseeable future, if ever.</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Business Development and Merck Collaboration Updates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Pursuing BD Arrangements has been and is expected to continue to be a key component of our strategy. Given the breadth of opportunities that have been, and may in the future be, produced by our discovery engine, we are seeking BD Arrangements with third-party partners to progress, in whole or in part, the development of one or more of our product candidates. We believe that this strategy, if successfully implemented, may enable more of the programs in our pipeline, including those in active development by us, to be advanced as effectively and efficiently as possible. As described above, further development of NGM621, aldafermin, NGM313 (MK-3655) and NGM936 is primarily dependent on our ability to secure potential future BD Arrangements and, in the absence of such BD Arrangements, we are unlikely to be able to advance development of those programs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collaboration with Merck, described in "Business - Licensing and Collaboration Arrangements - Merck Collaboration" in Part I, Item 1 of the 2022 Annual Report on Form 10-K and Note 5, “Research Collaboration and License Agreements - Merck,” in our notes to the unaudited condensed consolidated financial statements included in Part I, Item 1 of this Quarterly Report on Form 10-Q, historically provided us with robust financial support that enabled us to broaden and accelerate our research efforts and to develop more product candidates for major indications than we likely could have advanced on our own. We do not have any committed external source of funds, other than pursuant to our collaboration with Merck under the amended and restated research collaboration, product development and license agreement we entered into with Merck on June 30, 2021, or the Amended Collaboration Agreement. Currently, the only ongoing activities funded under the Amended Collaboration Agreement are ongoing cardiovascular or metabolic-, or CVM-, related activities. In 2023, the R&amp;D funding we receive from Merck under the Amended Collaboration Agreement will be limited and continue to be substantially lower on an annual basis than the research funding previously provided by Merck. In this regard, for the period that started on July 1, 2023 and ends on March 31, 2024, we expect to receive funding of only approximately $0.6 million in the aggregate from Merck for the ongoing CVM-related activities and for certain costs and reimbursements related to the NGM621 program. Funding from Merck after December 31, 2023 is expected to be minimal. The research phase for the CVM-related programs under the Amended Collaboration Agreement will continue through March 31, 2024, unless the parties mutually agree to extend the research phase through March 31, 2026, in which case Merck would provide up to a total of $20.0 million in R&amp;D funding during the additional two years of the CVM program research phase.</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Restructuring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2023, we announced a restructuring of our workforce pursuant to which our workforce was reduced by 74 people, or approximately 33% of our existing headcount as of such date. The restructuring, including cash payments, was substantially completed by the end of the second quarter of 2023. We incurred approximately $5.0 million in restructuring charges in connection with the restructuring, consisting of (i) approximately $4.3 million in cash-based expenses related to employee severance and notice period payments, benefits and related costs, and (ii) approximately $0.7 million in non-cash stock-based compensation expense related to the vesting of share-based awards. </w:t>
      </w:r>
    </w:p>
    <w:p>
      <w:pPr>
        <w:pStyle w:val="TextBody"/>
        <w:bidi w:val="0"/>
        <w:spacing w:lineRule="auto" w:line="256" w:before="0" w:after="0"/>
        <w:jc w:val="left"/>
        <w:rPr>
          <w:rFonts w:ascii="Arial;sans-serif" w:hAnsi="Arial;sans-serif"/>
          <w:b/>
          <w:i/>
          <w:color w:val="000000"/>
          <w:sz w:val="20"/>
        </w:rPr>
      </w:pPr>
      <w:r>
        <w:rPr>
          <w:rFonts w:ascii="Arial;sans-serif" w:hAnsi="Arial;sans-serif"/>
          <w:b/>
          <w:i/>
          <w:color w:val="000000"/>
          <w:sz w:val="20"/>
        </w:rPr>
        <w:t>Operational Updates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own, and have no plans to establish, any manufacturing facilities. All of our manufacturing activities are outsourced to third-party contract development and manufacturing organizations or third-party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5"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manufacturing organizations, which we refer to collectively as CMOs, which are generally single-source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or R&amp;D, resources are focused, and will continue to be focused, on the manufacture and testing of clinical trial materials. If our CMOs and CROs fail to satisfy their contractual duties to us or meet expected deadlines or if our CMOs experience difficulties in scaling production, higher than anticipated costs or lower than anticipated yields, product loss due to contamination, equipment failure, improper installation or operation of equipment, vendor or operator error, turnover of qualified staff or improper storage conditions, difficulties with quality control, product stability or quality assurance testing, or difficulties procuring raw materials or components as a result of the COVID-19 or some future pandemic or otherwise, our ongoing and planned trials and possible acceleration or expansion of those trials may be delayed, perhaps substantially, or abandoned, which could materially and adversely affect our business. For example, in 2022, our planned individual new drug application, or IND, submissions for NGM831 and NGM438 were delayed due to challenges at one of our CMOs with respect to the manufacture of those product candidates, primarily related to analytical method qualification and release testing. It is possible that we could experience further supply-related delays that would create supply challenges and possible timing delays for ongoing and planned clinical trials or delay the commencement of first-in-human testing of future product candidates. In addition, there have historically been times of increased competition in the biotechnology industry for available CMO manufacturing slots and other capabilities generally, which has had, and may in the future have, a negative impact on the availability of manufacturing capacity and therefore our ability to supply clinical trial materials for planned, ongoing, accelerated or expanded clinical trials. Our CMOs’ facilities and operations have also been adversely affected by labor, raw material and component shortages, high turnover of staff and difficulties in hiring trained and qualified replacement staff. Changes in economic conditions, supply chain constraints, labor, raw material and component shortages and steps taken by governments and central banks, particularly in response to the COVID-19 pandemic as well as other stimulus and spending programs, could lead to higher inflation than previously experienced or expected, which could, in turn, lead to an increase in costs. These supply chain effects, increased competition and higher costs of acquired goods and services have not materially impacted our results of operations for the three and six months ended June 30, 2023, although they may negatively impact our business operations and our financial results in the future.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some of our product candidates are currently manufactured solely at a facility in Lithuania. Following Russia's invasion of Ukraine in February 2022, NATO deployed additional military forces to Eastern Europe, including to Lithuania. The ongoing conflict between Russia and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July 2022, we entered into an operating lease agreement, or the 2024 Lease Agreement, for our existing corporate office space and facilities at 333 Oyster Point Blvd., South San Francisco, California, which allows us to remain in our existing facilities through December 31, 2033, subject to our compliance with the 2024 Lease Agreement. We also have an option to extend the 2024 Lease Agreement for a period of either eight or ten years after the initial ten-year term of January 1, 2024 to December 31, 2033.</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seek to allocate our capital efficiently and strategically and fund our active development portfolio based on each program’s scientific and other merits. Our discipline has been demonstrated by our decision not to proceed with development activities on multiple potentially viable product candidates for portfolio management and capital conservation reasons to concentrate our resources and focus our execution on our solid tumor oncology programs. Given the substantial decrease in research funding we now receive from Merck as compared to historical periods commensurate with the decreased scope of the collaboration, we need to devote a substantial amount of our own financial resources to fund our R&amp;D programs, and we may need to delay or suspend development activities on product candidates that we consider promising unless and until we are able to raise sufficient additional capital and/or we need to enter into additional BD Arrangements in order to proceed with such development through to regulatory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6"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Financial Highlights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inception, we have funded our operations primarily through:</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fees received from collaboration partners, which since inception through June 30, 2023 includes reimbursement of R&amp;D expenses of $543.9 million and upfront cash licensing fees of $123.0 million, primarily from Merck, and a payment of $20.0 million from Merck to license NGM313 (MK-3655) and related compounds;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proceeds from private placements of convertible preferred stock prior to our initial public offering, or IPO, including approximately $106.0 million of our Series E convertible preferred stock purchased by Merck;</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net proceeds from our IPO in 2019 of approximately $107.8 million, together with proceeds from the concurrent private placement of shares of common stock to Merck of $65.9 million;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net proceeds of $71.5 million through June 30, 2023 from sales of approximately 4.1 million shares of our common stock under an Open Market Sale Agreement</w:t>
      </w:r>
      <w:r>
        <w:rPr>
          <w:rFonts w:ascii="Arial;sans-serif" w:hAnsi="Arial;sans-serif"/>
          <w:b w:val="false"/>
          <w:color w:val="000000"/>
          <w:sz w:val="13"/>
        </w:rPr>
        <w:t>SM</w:t>
      </w:r>
      <w:r>
        <w:rPr>
          <w:color w:val="000000"/>
        </w:rPr>
        <w:t xml:space="preserve"> </w:t>
      </w:r>
      <w:r>
        <w:rPr>
          <w:rFonts w:ascii="Arial;sans-serif" w:hAnsi="Arial;sans-serif"/>
          <w:b w:val="false"/>
          <w:color w:val="000000"/>
          <w:sz w:val="20"/>
        </w:rPr>
        <w:t xml:space="preserve">we entered into with Jefferies LLC, or Jefferies, in June 2020, or the Sales Agreement.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At June 30, 2023, we had $193.5 million in cash, cash equivalents and short-term marketable securities.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incurred net losses each year since our inception. As of June 30, 2023, we had an accumulated deficit of $667.5 million. Substantially all of our net losses have resulted from costs incurred in connection with our R&amp;D programs and general and administrative, or G&amp;A, costs associated with our operations. Our net losses may fluctuate significantly from quarter-to-quarter and year-to-year, depending on the timing of our clinical trials and our expenses on other R&amp;D activities, and the amount of R&amp;D funding we receive from future BD Arrangements, if any. For further discussion of our financial position and future sources of funding, see “Liquidity and Capital Resources”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Financial Operations Overview</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Related Party Revenue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revenue to date has been generated primarily from recognition of license fees and R&amp;D service funding pursuant to our collaboration with Merck. Merck is also a significant stockholder and, as such, collaboration revenue from Merck is referred to as related party revenue.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the Company's inception through June 30, 2023, Merck has paid us $619.0 million pursuant to the terms of our collaboration. Due to the nature of our collaboration with Merck and the timing of related revenue recognition, our revenue has fluctuated from period to period in the past and it will continue to decrease in 2023 given the substantial reduction in the level of funding we will receive from Merck. In this regard, for the period that started on July 1, 2023 and ends on March 31, 2024, we expect to receive funding of only approximately $0.6 million in the aggregate from Merck for the ongoing CVM-related activities and for certain costs and reimbursements related to the NGM621 program. After December 31, 2023, we expect funding, and revenue recognized, from Merck to be minimal. As a result, we believe that period-to-period comparisons of our revenue may not be meaningful and should not be relied upon as being indicative of future performance.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7"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Our related party revenue was as follows (in thousands):</w:t>
      </w:r>
    </w:p>
    <w:tbl>
      <w:tblPr>
        <w:tblW w:w="7020" w:type="dxa"/>
        <w:jc w:val="left"/>
        <w:tblInd w:w="0" w:type="dxa"/>
        <w:tblLayout w:type="fixed"/>
        <w:tblCellMar>
          <w:top w:w="28" w:type="dxa"/>
          <w:left w:w="28" w:type="dxa"/>
          <w:bottom w:w="28" w:type="dxa"/>
          <w:right w:w="28" w:type="dxa"/>
        </w:tblCellMar>
      </w:tblPr>
      <w:tblGrid>
        <w:gridCol w:w="734"/>
        <w:gridCol w:w="644"/>
        <w:gridCol w:w="64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751"/>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Research and Development Expenses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R&amp;D efforts include drug discovery and other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R&amp;D efforts are extensive and costly. Our R&amp;D expenses related to the development of our product candidates consist primarily of: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fees paid to our CROs in connection with our clinical trials and other related clinical trial fees, when applicable;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costs related to acquiring and manufacturing drug substance, drug product and clinical trial materials, and the costs of continued testing, such as process validation testing and stability testing, of drug substance and drug product;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costs related to toxicology testing and other research- and preclinical-related studies;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salaries and related overhead expenses, which include stock-based compensation and benefits, for personnel in R&amp;D functions;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fees paid to consultants for R&amp;D activities;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R&amp;D operating expenses, including facility costs and depreciation expenses; and </w:t>
      </w:r>
    </w:p>
    <w:p>
      <w:pPr>
        <w:pStyle w:val="TextBody"/>
        <w:bidi w:val="0"/>
        <w:spacing w:lineRule="auto" w:line="288" w:before="60" w:after="240"/>
        <w:ind w:left="0" w:right="0" w:hanging="360"/>
        <w:jc w:val="both"/>
        <w:rPr/>
      </w:pPr>
      <w:r>
        <w:rPr>
          <w:color w:val="000000"/>
        </w:rPr>
        <w:t>•</w:t>
      </w:r>
      <w:r>
        <w:rPr>
          <w:rFonts w:ascii="Arial;sans-serif" w:hAnsi="Arial;sans-serif"/>
          <w:b w:val="false"/>
          <w:color w:val="000000"/>
          <w:sz w:val="20"/>
        </w:rPr>
        <w:t xml:space="preserve">costs related to compliance with regulatory requirements.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need to devote a substantial amount of our own financial resources to our wholly-owned development programs, which we recently have been focusing primarily on our solid tumor oncology programs. As a result, further development of NGM621, aldafermin, NGM313 (MK-3655) and NGM936 is currently primarily dependent on our ability to secure potential future BD Arrangements and, in the absence of such BD Arrangements, we are unlikely to be able to advance development of those programs unless our portfolio prioritization changes and we are able to secure the additional capital necessary to fund such development. For the foreseeable future, we anticipate a significant portion of our financial resources, other than those received from Merck which are dedicated to activities under the Amended Collaboration Agreement, will be directed to activities required to initiate and advance clinical trials of certain of our wholly-owned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successful development of our product candidates is highly uncertain. At this time, we cannot reasonably estimate the nature, timing or costs of the efforts that will be necessary to complete the remainder of the development of our product candidates or if we will be able to enter into BD Arrangements or otherwise raise adequate additional capital to meet our funding requirements to support such efforts, particularly outside of our key solid tumor oncology programs. This is due to the numerous risks and uncertainties associated with developing medicines, including the uncertainty of:</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scope, rate of progress, results and expense of our ongoing, as well as any future, clinical trials and other R&amp;D-related activities;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impact and timing of any interactions with regulatory authorities, including timing and receipt of regulatory approvals;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hire and retain key R&amp;D personnel;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manufacturing scale-up challenges, production shortages or other supply disruptions for clinical trial materials, including raw materials and components;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effects of the COVID-19 pandemic on our employees, patients, clinical trial sites and our CROs, CMOs and other service providers;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8"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timely and quality performance of our CROs, CMOs and other service providers;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 of products that may compete with our product candidates or other market developments;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expand and enforce our intellectual property portfolio.</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change in the outcome of any of the risks and uncertainties associated with the development of a product candidate could mean a significant change in the costs, as well as the timing, associated with the development of that product candidate. For example, if the FDA or a comparable foreign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Third Parties,” “—Risks Related to Regulatory Approvals” and "—Risks Related to Our Intellectual Property” in Part II, Item 1A of this Quarterly Report on Form 10-Q. </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General and Administrative Expenses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G&amp;A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our G&amp;A expenses in 2023 will decrease moderately compared to 2022 primarily due to the workforce restructuring implemented in the second quarter of 2023. Beginning in 2024, our G&amp;A expenses will include an increase in operating lease expenses under the 2024 Lease Agreement. Additionally, we anticipate continued costs associated with being a public company, including expenses related to services associated with maintaining compliance with Nasdaq listing rules and related SEC requirements and costs related to insurance, investor relations and compliance with Section 404 of the Sarbanes-Oxley Act of 2002, or the Sarbanes-Oxley Act. In addition, we may continue to incur expenses associated with negotiating and entering into BD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Our results of operations were as follows (in thousands):</w:t>
      </w:r>
    </w:p>
    <w:tbl>
      <w:tblPr>
        <w:tblW w:w="10205" w:type="dxa"/>
        <w:jc w:val="left"/>
        <w:tblInd w:w="0" w:type="dxa"/>
        <w:tblLayout w:type="fixed"/>
        <w:tblCellMar>
          <w:top w:w="28" w:type="dxa"/>
          <w:left w:w="28" w:type="dxa"/>
          <w:bottom w:w="28" w:type="dxa"/>
          <w:right w:w="28" w:type="dxa"/>
        </w:tblCellMar>
      </w:tblPr>
      <w:tblGrid>
        <w:gridCol w:w="883"/>
        <w:gridCol w:w="562"/>
        <w:gridCol w:w="564"/>
        <w:gridCol w:w="211"/>
        <w:gridCol w:w="783"/>
        <w:gridCol w:w="109"/>
        <w:gridCol w:w="109"/>
        <w:gridCol w:w="109"/>
        <w:gridCol w:w="109"/>
        <w:gridCol w:w="211"/>
        <w:gridCol w:w="783"/>
        <w:gridCol w:w="109"/>
        <w:gridCol w:w="109"/>
        <w:gridCol w:w="109"/>
        <w:gridCol w:w="109"/>
        <w:gridCol w:w="211"/>
        <w:gridCol w:w="678"/>
        <w:gridCol w:w="109"/>
        <w:gridCol w:w="109"/>
        <w:gridCol w:w="109"/>
        <w:gridCol w:w="109"/>
        <w:gridCol w:w="211"/>
        <w:gridCol w:w="783"/>
        <w:gridCol w:w="109"/>
        <w:gridCol w:w="109"/>
        <w:gridCol w:w="109"/>
        <w:gridCol w:w="109"/>
        <w:gridCol w:w="211"/>
        <w:gridCol w:w="783"/>
        <w:gridCol w:w="109"/>
        <w:gridCol w:w="109"/>
        <w:gridCol w:w="109"/>
        <w:gridCol w:w="109"/>
        <w:gridCol w:w="211"/>
        <w:gridCol w:w="783"/>
        <w:gridCol w:w="157"/>
      </w:tblGrid>
      <w:tr>
        <w:trPr/>
        <w:tc>
          <w:tcPr>
            <w:tcW w:w="88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party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(25,571)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(78,969)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 xml:space="preserve">Related Party Revenue from Merck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Revenue decreased $6.9 million and $25.6 million in the three and six months ended June 30, 2023, respectively, compared to the same periods in 2022 due to a decrease in R&amp;D revenue under the Amended Collaboration Agreement with Merck.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Given the substantial reduction in the level of funding from Merck, our revenue will continue to decrease in 2023. In this regard, for the period that started on July 1, 2023 and ends on March 31, 2024, we expect to receive funding of only approximately $0.6 million in the aggregate from Merck for the ongoing CVM-related activities and for certain costs and reimbursements related to the NGM621 program. After December 31, 2023, we expect funding, and revenue recognized, from Merck to be minimal.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9"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Research and Development Expenses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R&amp;D expenses by program were as follows (in thousands):</w:t>
      </w:r>
    </w:p>
    <w:tbl>
      <w:tblPr>
        <w:tblW w:w="9150" w:type="dxa"/>
        <w:jc w:val="left"/>
        <w:tblInd w:w="0" w:type="dxa"/>
        <w:tblLayout w:type="fixed"/>
        <w:tblCellMar>
          <w:top w:w="28" w:type="dxa"/>
          <w:left w:w="28" w:type="dxa"/>
          <w:bottom w:w="28" w:type="dxa"/>
          <w:right w:w="28" w:type="dxa"/>
        </w:tblCellMar>
      </w:tblPr>
      <w:tblGrid>
        <w:gridCol w:w="1391"/>
        <w:gridCol w:w="1223"/>
        <w:gridCol w:w="1226"/>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External R&amp;D expenses: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NGM707 (Anti-ILT2/ILT4 dual antagonist)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NGM438 (LAIR1 antagonist)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NGM831 (ILT3 antagonist)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Aldafermin (FGF19 analog)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NGM120 (GFRAL antagonist)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NGM621 (C3 inhibitor)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external R&amp;D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external R&amp;D expenses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Personnel-related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Internal and unallocated R&amp;D expenses (1)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R&amp;D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60" w:after="120"/>
        <w:ind w:left="0" w:right="0" w:hanging="540"/>
        <w:jc w:val="both"/>
        <w:rPr>
          <w:rFonts w:ascii="Arial;sans-serif" w:hAnsi="Arial;sans-serif"/>
          <w:b w:val="false"/>
          <w:color w:val="000000"/>
          <w:sz w:val="16"/>
        </w:rPr>
      </w:pPr>
      <w:r>
        <w:rPr>
          <w:rFonts w:ascii="Arial;sans-serif" w:hAnsi="Arial;sans-serif"/>
          <w:b w:val="false"/>
          <w:color w:val="000000"/>
          <w:sz w:val="16"/>
        </w:rPr>
        <w:t>(1)Internal and unallocated R&amp;D expenses consist primarily of research supplies and consulting fees, which we deploy across multiple R&amp;D programs and include restructuring charges of $3.9 million in the three and six months ended June 30, 2023.</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R&amp;D expenses decreased $13.1 million and $15.0 million in the three and six months ended June 30, 2023, respectively, compared to the same periods in 2022. The decrease in the three-month period was primarily due to a decrease in personnel-related expenses of $4.7 million and decreases in expenses for our clinical trials of NGM621 of $4.6 million, NGM707 of $3.3 million and NGM120 of $1.4 million, and decreases in expenses for our manufacturing activities and our clinical trials of aldafermin of $2.0 million; partially offset by restructuring charges of $3.9 million. The decrease in the six-month period was primarily due to a decrease in expenses for our clinical trial of NGM621 of $8.9 million, decreases in expenses for our manufacturing activities and our clinical trials of aldafermin of $4.1 million, a decrease in personnel-related expenses of $3.4 million and a decrease in expenses for our clinical trial of NGM120 of $1.7 million, partially offset by restructuring charges of $3.9 million.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our R&amp;D expenses will decrease in 2023 compared to 2022 as we suspend development activities related to NGM621 and our other preclinical ophthalmology programs, complete activities related to ALPINE 4 and focus on the continued advancement of our solid tumor oncology portfolio.</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 xml:space="preserve">General and Administrative Expenses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G&amp;A expenses decreased $0.3 million in the three months ended June 30, 2023 and increased $0.6 million in the six months ended June 30, 2023 compared to the same periods in 2022. The decrease in the three-month period was primarily due to a decrease in compensation-related expenses of $1.0 million and a decrease in depreciation expense of $0.8 million, partially offset by restructuring charges of $1.1 million and an increase in legal-related expenses of $0.5 million. The increase in the six-month period was primarily due to an increase in legal-related expenses of $1.6 million and restructuring charges of $1.1 million, partially offset by a decrease in depreciation expense of $1.5 million and compensation-related expenses of $0.8 million.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anticipate that our G&amp;A expenses in 2023 will decrease moderately compared to 2022 primarily due to the workforce restructuring implemented in the second quarter of 2023.</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Interest Income, net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Interest income, net, increased $1.9 million and $4.3 million in the three and six months ended June 30, 2023, respectively, compared to the same periods in 2022 primarily due to higher yielding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30"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300" w:after="120"/>
        <w:jc w:val="center"/>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Funding Requirements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no products approved for commercial sale, have not generated any revenue from product sales to date and we are not and may never be profitable. We have incurred losses in each year since commencing operations, and we expect to incur significant operating losses in 2023 and over the next several years. As of June 30, 2023, we had an accumulated deficit of $667.5 million, and we expect our accumulated deficit will continue to increase over time.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an active discovery research group and have spent significant resources to fund R&amp;D of multiple pipeline programs. We recently have been focusing most of our execution efforts and resources on our solid tumor oncology programs, NGM707, NGM831, NGM438 and NGM120, as our research, development, clinical trial and related activities continue. While we will opportunistically consider BD Arrangements to advance development of these programs, we have been continuing to invest our resources in their development even in the absence of BD Arrangements.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Due to the need to conserve capital and prioritize focused execution, the remainder of our pipeline includes programs whose further development is primarily dependent on our ability to secure potential future BD Arrangements. We are seeking BD Arrangements with third-party partners possessing sufficient resources and relevant domain expertise in the relevant therapeutic area in order to further clinical development of these programs. In the absence of such BD Arrangements for these programs, we are unlikely to be able to advance their development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Prior to 2022, we received substantial R&amp;D funding from our collaboration with Merck. However, under the narrower scope of the Amended Collaboration Agreement, R&amp;D funding from Merck beginning April 2022 was and is expected to continue to be substantially lower than the R&amp;D funding previously provided by Merck. For the period that started on July 1, 2023 and ends on March 31, 2024, we expect to receive funding of only approximately $0.6 million in the aggregate from Merck for activities remaining under the Amended Collaboration Agreement and for certain costs and reimbursements related to the NGM621 program. Funding from Merck after December 31, 2023 is expected to be minimal.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cash requirements for fiscal year 2023 continue to be driven by our R&amp;D and G&amp;A expenses. In 2022 and 2021, our R&amp;D expenses were $181.1 million and $161.7 million, respectively. In 2023, we expect our R&amp;D expenses to decrease compared to 2022 as we suspend development activities related to NGM621 and our other preclinical ophthalmology programs, complete activities related to ALPINE 4 and focus on the continued advancement of our solid tumor oncology portfolio. In 2022 and 2021, our G&amp;A expenses were $40.5 million and $36.9 million, respectively. In 2023, we expect our G&amp;A expenses will decrease moderately compared to 2022 primarily due to the workforce restructuring implemented in the second quarter of 2023. Beginning in 2024, our operating lease costs will increase pursuant to the 2024 Lease Agreement we entered into in July 2022 for our current corporate office space and facilities in South San Francisco, California. Our current sublease will expire on December 31, 2023. The 2024 Lease Agreement will commence on January 1, 2024 and expire on December 31, 2033. We will pay an initial monthly base rent of approximately $0.9 million for the first year, which is subject to increase at an annual rate of 3.5% each year thereafter, plus certain operating and tax expenses.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believe that our existing cash, cash equivalents and short-term marketable securities will be sufficient to fund our operations for at least one year from the date this Quarterly Report on Form 10-Q is filed. Moreover, based on our current development plans and related assumptions, we believe our current cash position is sufficient to fund our immuno-oncology solid tumor programs through generation of proof-of-concept data. We have based these estimates on plans and assumptions that may prove to be insufficient or inaccurate (for example, with respect to anticipated costs, timing or success of certain activities), and we could utilize our available capital resources sooner than we currently expect. For example, although we implemented and substantially completed a workforce restructuring in the second quarter of 2023 as part of our broader efforts designed to reduce our operating expenses, we may not achieve the expected benefits of our cost preservation efforts on the expected timeline, or at all, and we could otherwise consume capital more rapidly than we currently anticipate.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II, Item 1A of this Quarterly Report on Form 10-Q. Nonetheless, in order to advance our current and potential future product candidates through development and to regulatory approval and commercialization, we need to raise significant additional capital and/or we need to enter into BD Arrangements to obtain funding or other resources for one or more of our wholly-owned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1"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programs. Neither may be possible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 </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Sources of Liquidity</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Cash and Investments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June 30, 2023, we had cash and cash equivalents of $53.3 million and short-term marketable securities of $140.3 million. </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Merck Collaboration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revenue we receive under the Amended Collaboration Agreement with Merck is currently our only source of revenue. For the period that started on July 1, 2023 and ends on March 31, 2024, we expect to receive funding of only approximately $0.6 million in the aggregate from Merck for the ongoing CVM-related activities and for certain costs and reimbursements related to the NGM621 program. See “Overview of Our Business – Business Development and Merck Collaboration Updates” above.</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Other Sources of Capital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accordance with the terms of the Sales Agreement, we may offer and sell shares of our common stock having an aggregate offering price of up to $150.0 million from time to time through or to Jefferies, acting as our sales agent. As of December 31, 2022 and June 30, 2023, $76.2 million of our common stock remained available to be sold under the Sales Agreement, subject to conditions specified in the Sales Agreement.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7, 2023, we entered into Amendment No. 1, or the Amendment, to the Sales Agreement with Jefferies, and we refer to the Sales Agreement as amended as the Amended Sales Agreement. In connection with the Amended Sales Agreement, we filed a new shelf registration statement on Form S-3, or the New Registration Statement, which upon effectiveness will provide for the issuance and sale of shares of our common stock having an aggregate offering price of up to $100.0 million through or to Jefferies, which amount includes any unsold shares of our common stock previously available for sale under the Sales Agreement prior to the effectiveness of the New Registration Statement. The controlling provisions of the Amendment will become effective at the time the SEC declares the New Registration Statement effective. We plan to finance our future cash needs through public or private equity or debt offerings, including under the Amended Sales Agreement following the effectiveness of the New Registration Statement, BD Arrangements or a combination of these potential financing sources. Additional capital may not be available in sufficient amounts, on reasonable terms or when we need it, if at all.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ability to raise additional capital through public or private equity or debt offerings may be adversely impacted by worsening global economic conditions and the disruptions to, and volatility in, the credit and financial markets in the United States and worldwide, and in the biotechnology industry specifically. While the long-term economic impact of either the COVID-19 pandemic or the conflict between Russia and Ukraine is difficult to assess or predict, each of these events has caused significant disruptions to the global financial markets and contributed to a general global economic slowdown.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Furthermore, higher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Moreover, the closures of Silicon Valley Bank, or SVB, and other banks in early 2023 have resulted in broader financial institution liquidity risk and concerns. Although we incurred no losses as a result of the closure of SVB or other banks, future adverse developments with respect to specific financial institutions or the broader financial services industry may lead to market-wide liquidity shortages that could materially harm our business and financial condition. In this regard, we continue to maintain our cash at SVB and other banks, often in balances that exceed the current FDIC insurance limits, and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cash equivalents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2"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investments, including transferring funds, making payments or receiving funds may be threatened and our ability to raise additional capital could be substantially impaired, any of which could materially and adversely affect our business and financial condition. In any event, if the financial market disruptions and economic slowdown deepen or persist, we may not be able to access additional capital on favorable terms, or at all, which could negatively affect our financial condition and our ability to pursue our business strategy.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While we may opportunistically consider BD Arrangements to advance development of our solid tumor oncology programs, we are seeking BD Arrangements with third-party partners to progress, in whole or in part, the development of one or more of our other programs whose further development is primarily dependent on our ability to secure potential future BD Arrangements. We believe that this strategy, if successfully implemented, may enable more of the product candidates in our pipeline to be advanced as effectively and efficiently as possible. If we are unable to secure BD Arrangements for NGM621 and our preclinical ophthalmology programs, aldafermin, NGM313 (MK-3655) and NGM936, we may discontinue or abandon any or all of them altogether, in which case we will not realize any return on our investments in these programs. Even if we are successful in securing BD Arrangements for these programs, we will likely have limited control over the amount and timing of resources that our partners dedicate to the development or commercialization of the applicable product candidates. Our ability to generate revenue from any such BD Arrangement will depend on the specific terms of the BD Arrangement.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are unable to raise adequate additional capital through public or private equity or debt offerings, BD Arrangements or otherwise, on acceptable terms or at all, we may be delayed in or prevented from pursuing our planned and any future development and commercialization efforts, which will have a material adverse effect on our business, operating results and prospects, or we may be required to cease operations altogether.</w:t>
      </w:r>
    </w:p>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Cash Flow Activity</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cash flow activity for the periods indicated (in thousands):</w:t>
      </w:r>
    </w:p>
    <w:tbl>
      <w:tblPr>
        <w:tblW w:w="7914" w:type="dxa"/>
        <w:jc w:val="left"/>
        <w:tblInd w:w="0" w:type="dxa"/>
        <w:tblLayout w:type="fixed"/>
        <w:tblCellMar>
          <w:top w:w="28" w:type="dxa"/>
          <w:left w:w="28" w:type="dxa"/>
          <w:bottom w:w="28" w:type="dxa"/>
          <w:right w:w="28" w:type="dxa"/>
        </w:tblCellMar>
      </w:tblPr>
      <w:tblGrid>
        <w:gridCol w:w="1913"/>
        <w:gridCol w:w="1678"/>
        <w:gridCol w:w="1689"/>
        <w:gridCol w:w="211"/>
        <w:gridCol w:w="811"/>
        <w:gridCol w:w="109"/>
        <w:gridCol w:w="109"/>
        <w:gridCol w:w="109"/>
        <w:gridCol w:w="109"/>
        <w:gridCol w:w="211"/>
        <w:gridCol w:w="811"/>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 xml:space="preserve">Operating Activities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six months ended June 30, 2023, net cash used in operating activities was $82.1 million, which consisted of a net loss of $85.9 million, adjusted for non-cash charges of $16.2 million and a change in operating assets and liabilities of $12.4 million. The non-cash charges consisted primarily of stock-based compensation expense of $16.0 million. The change in operating assets and liabilities was mainly driven by decreases in accrued liabilities of $14.9 million, a related party receivable of $6.8 million, accounts payable of $2.3 million and operating lease liability of $2.6 million.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six months ended June 30, 2022, net cash used in operating activities was $85.9 million, which consisted of a net loss of $79.0 million, adjusted for non-cash charges of $20.9 million and a change in operating assets and liabilities of $27.8 million. The non-cash charges consisted primarily of stock-based compensation expense of $15.9 million and depreciation expense of $2.8 million. The change in operating assets and liabilities was mainly driven by decreases in contract liabilities of $11.3 million, accrued liabilities of $9.7 million and operating lease liability of $2.5 million, partially offset by increases in prepaid expenses and other current assets of $4.2 million and a related party receivable of $1.7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3"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six months ended June 30, 2023, net cash provided by investing activities was $60.2 million, which consisted primarily of $110.2 million in net proceeds on maturity of marketable securities, partially offset by purchases of marketable securities of $49.2 million.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six months ended June 30, 2022, net cash used in investing activities was $22.8 million, which consisted primarily of purchases of marketable securities of $144.0 million, partially offset by $122.3 million in net proceeds on maturity of marketable securities.</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six months ended June 30, 2023, net cash provided by financing activities consisted of proceeds from our employee equity incentive and employee stock purchase plans. In the six months ended June 30, 2022, net cash provided by financing activities consisted of net proceeds of $17.4 million from the sale of shares of our common stock under the Sales Agreement and proceeds from our employee equity incentive and employee stock purchase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contractual obligations related to our lease liabilities. In July 2022, we entered into the 2024 Lease Agreement for the corporate office space and facilities in South San Francisco, California that we currently occupy pursuant to a sublease agreement scheduled to expire on December 31, 2023. The initial term of the 2024 Lease Agreement will commence on January 1, 2024 and expire on December 31, 2033. Base rent during the initial ten-year term of the 2024 Lease Agreement will total $124.1 million. See Note 6 to our condensed consolidated financial statements included in Part I, Item 1,“Financial Statements” of this Quarterly Report on Form 10-Q for additional information.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enter into agreements in the normal course of business with CROs for clinical trials, CMOs and other vendors for preclinical studies, supplies, manufacturing and other services and products for operating purposes. These agreements are generally cancellable at any time by us, upon prior written notice, and may or may not include cancellation fees. Given that the amount and timing related to such payments are uncertain, they are not considered to be contractual obligations. As of June 30, 2023, we had not accrued for any termination or cancellation charges for any of these agreements as these were not considered probable. See "Liquidity and Capital Resources - Funding Requirements" above for information regarding our expected R&amp;D spend.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condensed consolidated balance sheets and are not considered to be contractual obligations. See "Business - Licensing and Collaboration Arrangements" in Part I, Item 1 of our 2022 Annual Report on Form 10-K for additional information regarding our current in-license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unaudited condensed consolidated financial statements, which we have prepared in accordance with U.S. generally accepted accounting principles, or U.S. GAAP. The preparation of our unaudited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In accordance with U.S. GAAP,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4"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See Note 2 to our condensed consolidated financial statements included in Part I, Item 1, “Financial Statements,” of this Quarterly Report on Form 10-Q for a description of recent accounting pronouncements applicable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six months ended June 30, 2023, there were no material changes to our market risk disclosures as set forth in Part II, Item 7A “Quantitative and Qualitative Disclosures About Market Risk”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of June 30, 2023,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2023, the design and operation of our disclosure controls and procedures were effective at a reasonable assurance level.</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quarter ended June 30, 2023, there have been no changes to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5"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not currently a party to any material litigation or other material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240" w:after="120"/>
        <w:ind w:left="0" w:right="0" w:firstLine="720"/>
        <w:jc w:val="both"/>
        <w:rPr>
          <w:rFonts w:ascii="Arial;sans-serif" w:hAnsi="Arial;sans-serif"/>
          <w:b w:val="false"/>
          <w:i/>
          <w:color w:val="000000"/>
          <w:sz w:val="20"/>
        </w:rPr>
      </w:pPr>
      <w:r>
        <w:rPr>
          <w:rFonts w:ascii="Arial;sans-serif" w:hAnsi="Arial;sans-serif"/>
          <w:b w:val="false"/>
          <w:i/>
          <w:color w:val="000000"/>
          <w:sz w:val="20"/>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Quarterly Report on Form 10-Q, including in Part I, Item 2, “Management’s Discussion and Analysis of Financial Condition and Results of Operations” and in our condensed consolidated financial statements and related notes, as well as our other filings with the U.S. Securities and Exchange Commission, or SEC. Our business, financial condition, results of operations, stock price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Quarterly Report on Form 10-Q may not contain all of the risks, uncertainties and other factors that may affect our future results and operations. Additional risks and uncertainties not presently known to us or that we currently deem immaterial may also impair our business operations and the market price of our common stock. Moreover, new risks will emerge from time to time. It is not possible for our management to predict all risks.</w:t>
      </w: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Risk Factor Summary</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immediately following this risk factor summary. The below summary is qualified in its entirety by that more complete discussion of such risks and uncertainties. You should carefully consider the risks and uncertainties described immediately following this risk factor summary as part of your evaluation of an investment in our common stock.</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need to successfully complete rigorous preclinical and clinical testing of our product candidates before we can seek regulatory approval, and the regulatory approval processes of the U.S. Food and Drug Administration, or FDA, and comparable foreign health authorities are lengthy and inherently unpredictable, and if we are not successful at each step of the process, commercialization of our product candidates will be delayed or prevented.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product candidates are in early stages of development, with our most advanced product candidates only in Phase 2 development.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product candidates may fail to demonstrate safety and efficacy in ongoing and future clinical trials, may never achieve regulatory approval and, even if approved, may not be able to be successfully commercialized due to competition or other factors.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have incurred net losses every year since our inception, we have no meaningful source of revenue , we expect to continue to incur significant operating losses and we may never become profitable.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All of our revenue for recent periods has been received from a single collaboration partner, Merck Sharp &amp; Dohme LLC, or Merck, and that revenue will continue to decrease for the remainder of 2023 and be minimal in 2024.</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need significant additional capital to proceed with development and commercialization of our current and potential future product candidates and to finance our other operations, and that additional capital may not be available to us on acceptable terms, or at all; as a result, we may need to significantly delay, scale back or discontinue development of or abandon some or all of our product candidates, or scale back or discontinue our discovery research efforts, or we may be required to cease operations altogether.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depend in the future on collaboration, out licensing, partnership or other business development arrangements, or BD Arrangements, with third-party partners for the development and commercialization of our product candidates and for revenue and, if we are unable to secure those BD Arrangements, or if any future BD Arrangements are not successful, we may not be able to capitalize on the market potential of our product candidates or continue their development. BD Arrangements involve numerous risks, any of which could materially and adversely affect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While we may opportunistically consider BD Arrangements to advance development of our solid tumor oncology programs, we are seeking BD Arrangements with third-party partners to progress, in whole or in part, the development of one or more of our other programs whose further development is primarily dependent on our ability to secure potential future BD Arrangements, and if we are unable to secure BD Arrangements to support these programs, which include NGM621, aldafermin, NGM313 (MK-3655) and NGM936, we are unlikely to be able to advance their development unless our portfolio prioritization changes and we are able to secure the additional capital necessary to fund such development, and may discontinue or abandon any or all of these programs altogether, in which case we will not realize any return on our investments in those programs.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not be able to obtain and maintain other relationships with third-party partners and service providers that are necessary to develop, manufacture and commercialize some or all of our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rely completely on contract manufacturers for the manufacture of our product candidates and the process of manufacturing, and conducting release testing for, our biologic product candidates is complex, highly regulated and subject to many risks, any of which could substantially increase our costs and limit supply of our product candidates and any future products needed for clinical trials and commercialization.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not successfully identify new product candidates to expand our development pipeline.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future success depends in part on our ability to attract and retain highly skilled employees, including members of our senior management team.</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success depends in significant part upon our ability to obtain and maintain intellectual property protection for our products and technologies.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principal stockholders, including entities affiliated with The Column Group, Merck and our management, own a substantial percentage of our stock and will be able to exert significant control over matters subject to stockholder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We or third parties we rely on or partner with could experience a cybersecurity incident that could harm our business.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market price of our common stock has been and may continue to be volatile, and you could lose all or part of your investment.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continue to incur increased costs as a result of operating as a public company and our management devotes substantial time to public company compliance initiatives; for example, we are obligated to develop and maintain proper and effective internal control over financial reporting and to comply with the requirements of Section 404 of the Sarbanes-Oxley Act of 2002, or the Sarbanes-Oxley Act.</w:t>
      </w:r>
    </w:p>
    <w:p>
      <w:pPr>
        <w:pStyle w:val="TextBody"/>
        <w:bidi w:val="0"/>
        <w:spacing w:lineRule="auto" w:line="288" w:before="240" w:after="120"/>
        <w:ind w:left="0" w:right="0" w:hanging="360"/>
        <w:jc w:val="center"/>
        <w:rPr>
          <w:rFonts w:ascii="Arial;sans-serif" w:hAnsi="Arial;sans-serif"/>
          <w:b/>
          <w:color w:val="000000"/>
          <w:sz w:val="20"/>
        </w:rPr>
      </w:pPr>
      <w:r>
        <w:rPr>
          <w:rFonts w:ascii="Arial;sans-serif" w:hAnsi="Arial;sans-serif"/>
          <w:b/>
          <w:color w:val="000000"/>
          <w:sz w:val="20"/>
        </w:rPr>
        <w:t>Risks Related to Our Financial Condition and Capital Needs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have incurred net losses every year since our inception and have no meaningful source of revenue. We expect to continue to incur significant operating losses and may never become profitable.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no products approved for commercial sale and have not generated any revenue from product sales to date. As a result, we are not profitable and have incurred losses in each year since commencing operations. Our net losses were $162.7 million, $120.3 million and $102.5 million for the years ended December 31, 2022, 2021 and 2020, respectively. As of June 30, 2023, we had an accumulated deficit of $667.5 million. </w:t>
      </w:r>
    </w:p>
    <w:p>
      <w:pPr>
        <w:pStyle w:val="TextBody"/>
        <w:bidi w:val="0"/>
        <w:spacing w:lineRule="auto" w:line="288" w:before="120" w:after="120"/>
        <w:ind w:left="0" w:right="0" w:firstLine="720"/>
        <w:jc w:val="both"/>
        <w:rPr/>
      </w:pPr>
      <w:r>
        <w:rPr>
          <w:rFonts w:ascii="Arial;sans-serif" w:hAnsi="Arial;sans-serif"/>
          <w:b w:val="false"/>
          <w:color w:val="000000"/>
          <w:sz w:val="20"/>
        </w:rPr>
        <w:t>We expect to continue to incur significant research and development, or R&amp;D, and other expenses related to our ongoing operations for the foreseeable future, particularly to fund R&amp;D of, and to seek regulatory approvals for, our product candidates. We incurred substantial net operating losses in 2022 and expect to continue to incur significant operating losses in 2023 and over the next several years as our research, development, manufacturing, preclinical studies, clinical trial and related activities continue. We expect our accumulated deficit will also increase in future periods. The size of our future net losses will depend, in part, on the amount of our expenses and our ability to generate revenue. All of our revenue from recent periods has been provided from Merck under the amended and restated research collaboration, product development and license agreement we entered into with Merck on June 30, 2021, or the Amended Collaboration Agreement. That revenue will be substantially lower in 2023 than in 2022 and prior years and minimal thereafter. See the risk factor titled “</w:t>
      </w:r>
      <w:r>
        <w:rPr>
          <w:rFonts w:ascii="Arial;sans-serif" w:hAnsi="Arial;sans-serif"/>
          <w:b w:val="false"/>
          <w:i/>
          <w:color w:val="000000"/>
          <w:sz w:val="20"/>
        </w:rPr>
        <w:t>All of our revenue for recent periods has been received from a single collaboration partner, and that revenue will continue to decrease for the remainder of 2023 and be minimal in 2024.</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prior losses and expected future losses have had and will continue to have an adverse effect on our stockholders’ equity and working capital.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generate any product revenue from our current or future product candidates also depends on a number of additional factors, including our ability or the ability of any potential future third-party partner to:</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successfully complete research and clinical development of current and future product candidates and obtain regulatory approval for those product candidates;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establish and maintain supply and manufacturing relationships with third parties, and ensure adequate, scaled up and legally compliant manufacturing of bulk drug substances and drug products to maintain sufficient supply;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launch and commercialize any product candidates for which marketing approval is obtained, if any, and, if launched independently by us without a partner, successfully establish a sales force and marketing and distribution infrastructure;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demonstrate the necessary safety data (and, if accelerated approval is obtained, verify the clinical benefit) post-approval to ensure continued regulatory approval;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obtain coverage and adequate product reimbursement from third-party payors, including government payors, for any approved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achieve market acceptance for any approved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establish, maintain, protect and enforce our intellectual property rights; and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attract, hire and retain qualified personnel.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successfully complete development and regulatory processes for any product candidates that we take forward, we anticipate incurring significant costs associated with launching and commercializing any approved products. If we fail to become profitable or do not sustain profitability on a continuing basis, we may be unable to continue our operations at planned levels and be forced to reduce or cease our operations.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All of our revenue for recent periods has been received from a single collaboration partner, and that revenue will continue to decrease for the remainder of 2023 and be minimal in 2024.</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do not have any committed external source of funds, other than pursuant to our collaboration with Merck, which has provided us with substantial financial support since 2015. However, as described under “Management’s Discussion and Analysis of Financial Condition and Results of Operations-Overview of Our Business-Business Development and Merck Collaboration Updates” in Part I, Item 2 of this Quarterly Report on Form 10-Q, in 2023 the R&amp;D funding we receive from Merck under the collaboration will be substantially lower on an annual basis than the research funding previously provided by Merck. In this regard, for the period that started on July 1, 2023 and ends on March 31, 2024, we expect to receive funding of only approximately $0.6 million in the aggregate from Merck for the ongoing activities under the Amended Collaboration Agreement and for certain costs and reimbursements related to the NGM621 program. Funding from Merck after December 31, 2023 is expected to be minimal.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any event, we need to devote a substantial amount of our own financial resources to our R&amp;D programs, particularly with respect to our wholly-owned programs that now include all of our ophthalmology programs and NGM313 (MK-3655). In addition, our funding requirements would increase for any preclinical programs that remain within the scope of the collaboration in the event Merck does not elect to license these programs and we decide to continue them, in the event Merck elects to terminate its license to any program it licenses and we decide to continue it or in the event we opt to co-develop any Merck-licensed programs. For example, as a result of Merck’s decision not to exercise its option to license NGM621 and its related compounds, as described below, NGM621 and its related compounds are now wholly-owned by us. Further development of NGM621 is primarily dependent on our ability to secure potential future BD Arrangements with third-party partners and, in the absence of such BD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Arrangements, we are unlikely to be able to advance development of NGM621 unless our portfolio prioritization changes and we are able to secure the additional capital necessary to fund such development. In addition, as a result of Merck's decision to terminate its license to NGM313 (MK-3655) and its related compounds, the license rights granted to Merck in 2018 with respect to NGM313 (MK-3655) reverted to us and the program is now wholly-owned by us. Further development of NGM313 (MK-3655) is also primarily dependent on our ability to secure potential future BD Arrangements and, in the absence of such BD Arrangements, we are unlikely to be able to advance development of NGM313 (MK-3655)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Other than our Amended Collaboration Agreement with Merck, which is limited in funding, scope and duration, and may be unilaterally terminated by Merck under certain circumstances, we are not party to any agreements that could provide us with future revenue. Accordingly, in order to advance our current and potential future product candidates through development and to regulatory approval and commercialization, we need to raise significant additional capital and/or we will need to enter into BD Arrangements to obtain funding or other resources for one or more of our wholly-owned programs. Neither may be possible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We need significant additional capital to proceed with development and commercialization of our current and potential future product candidates and our other operations. We may not be able to access sufficient capital on acceptable terms, if at all, and, as a result,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an R&amp;D company, our operations have consumed substantial amounts of cash since inception, and we need substantial additional capital to finance our operations and pursue our strategy, both in the short and the long term, and the amount of funding we will need depends on many factors,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initiation, progress, timing, delays, costs and results of preclinical studies and clinical trials for our current and future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outcome, timing and cost of seeking and obtaining regulatory approvals from the FDA and comparable foreign health authorities, including the potential for such authorities to require that we perform more studies than those that we currently expect or to change their requirements on studies that had previously been agreed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and timing of selecting, auditing and potentially validating a manufacturing site for later-stage clinical and commercial-scale manufacturing;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 of products that may compete with our product candidates or other market developments;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market acceptance of any approved product candidates, including product pricing and product reimbursement by third-party payors;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whether Merck exercises its option to license any preclinical candidates that remain within the scope of the collaboration at the license option point as specified in the Amended Collaboration Agreement for each such candidate;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whether Merck terminates the research phase of the collaboration under pre-specified circumstances set forth in the Amended Collaboration Agreement or terminates a program that it has licensed, such as its decision to terminate its license for NGM313 (MK-3655) and its related compounds;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of potentially acquiring, licensing or investing in additional businesses, products, product candidates and technologies;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of establishing sales, marketing and distribution capabilities for any of our product candidates for which we may receive regulatory approval and that we determine to commercialize ourselves or in collaboration with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believe that our existing cash, cash equivalents and short-term marketable securities will be sufficient to fund our operations for at least one year from the date this Quarterly Report on Form 10-Q is filed. Moreover, based on our current development plans and related assumptions, we believe our current cash position is sufficient to fund our immuno-oncology solid tumor programs through generation of proof-of-concept data. We have based these estimates on plans and assumptions that may prove to be insufficient or inaccurate (for example, with respect to anticipated costs, timing or success of certain activities), and we could utilize our available capital resources sooner than we currently expect. For example, although we implemented and substantially completed a workforce restructuring in the second quarter of 2023 as part of our broader efforts designed to reduce our operating expenses, we may not achieve the expected benefits of our cost preservation efforts on the expected timeline, or at all, and we could otherwise consume capital more rapidly than we currently anticipate.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pStyle w:val="TextBody"/>
        <w:bidi w:val="0"/>
        <w:spacing w:lineRule="auto" w:line="288" w:before="120" w:after="120"/>
        <w:ind w:left="0" w:right="0" w:firstLine="720"/>
        <w:jc w:val="both"/>
        <w:rPr/>
      </w:pPr>
      <w:r>
        <w:rPr>
          <w:rFonts w:ascii="Arial;sans-serif" w:hAnsi="Arial;sans-serif"/>
          <w:b w:val="false"/>
          <w:color w:val="000000"/>
          <w:sz w:val="20"/>
        </w:rPr>
        <w:t>On June 7, 2023, we entered into Amendment No. 1, or the Amendment, to the Open Market Sales Agreement</w:t>
      </w:r>
      <w:r>
        <w:rPr>
          <w:rFonts w:ascii="Arial;sans-serif" w:hAnsi="Arial;sans-serif"/>
          <w:b w:val="false"/>
          <w:color w:val="000000"/>
          <w:sz w:val="13"/>
        </w:rPr>
        <w:t>SM</w:t>
      </w:r>
      <w:r>
        <w:rPr>
          <w:rFonts w:ascii="Arial;sans-serif" w:hAnsi="Arial;sans-serif"/>
          <w:b w:val="false"/>
          <w:color w:val="000000"/>
          <w:sz w:val="20"/>
        </w:rPr>
        <w:t>, or the Sales Agreement, with Jefferies LLC, or Jefferies, and we refer to the Sales Agreement as amended as the Amended Sales Agreement.</w:t>
      </w:r>
      <w:r>
        <w:rPr>
          <w:color w:val="000000"/>
        </w:rPr>
        <w:t xml:space="preserve"> </w:t>
      </w:r>
      <w:r>
        <w:rPr>
          <w:rFonts w:ascii="Arial;sans-serif" w:hAnsi="Arial;sans-serif"/>
          <w:b w:val="false"/>
          <w:color w:val="000000"/>
          <w:sz w:val="20"/>
        </w:rPr>
        <w:t xml:space="preserve">In connection with the Amendment, we filed a new shelf registration statement on Form S-3, or the New Registration Statement, which upon effectiveness will provide for the issuance and sales of shares of our common stock having an aggregate offering price of up to $100.0 million through or to Jefferies, which amount includes any unsold shares of the Company's common stock previously available for sale under the Sales Agreement prior to the effectiveness of the New Registration Statement.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plan to finance our future cash needs through public or private equity or debt offerings, including under the Amended Sales Agreement following the effectiveness of the New Registration Statement, BD Arrangements or a combination of these potential financing sources. Additional capital may not be available in sufficient amounts, on reasonable terms or when we need it, if at all. While the long-term economic impact of either the COVID-19 pandemic or the conflict between Russia and Ukraine is difficult to assess or predict, each of these events has caused significant disruptions to the global financial markets and contributed to a general global economic slowdown. Furthermore, higher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Moreover, the closures of Silicon Valley Bank, or SVB, and other banks in early 2023 have resulted in broader financial institution liquidity risk and concerns. Although we incurred no losses as a result of the closure of SVB or other banks, future adverse developments with respect to specific financial institutions or the broader financial services industry may lead to market-wide liquidity shortages that could materially harm our business and financial condition. In this regard, we continue to maintain our cash at SVB and other banks, often in balances that exceed the current FDIC insurance limits, and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cash equivalents and investments, including transferring funds, making payments or receiving funds may be threatened and our ability to raise additional capital could be substantially impaired, any of which could materially and adversely affect our business and financial condition. In any event, if the financial market disruptions and economic slowdown deepen or persist, we may not be able to access additional capital on favorable terms, or at all, which could negatively affect our financial condition and our ability to pursue our business strategy.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adequate funds are not available from public or private equity or debt offerings on acceptable terms, in order to continue the development of product candidates outside of the scope of the collaboration with Merck we may need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seek strategic alliances for R&amp;D programs when we otherwise would not, at an earlier stage than we would otherwise desire or on terms less favorable than might otherwise be available;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enter into BD Arrangements that could require us to relinquish, or license, on potentially unfavorable terms, our rights to intellectual property, product candidates or products that we otherwise would develop or seek to commercialize ourselves.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this regard, due to the need to conserve capital and prioritize focused execution, we are seeking BD Arrangements with third-party partners with sufficient resources and relevant domain expertise in order to further the clinical development, if any, of NGM621, aldafermin, NGM313 (MK-3655) and NGM936. Further development of these programs, which are in therapeutic areas where clinical development is relatively resource intensive and can have long timelines to generate proof-of-concept data, is primarily dependent on our ability to secure potential future BD Arrangements. However, we may not be able to enter into such BD Arrangements on acceptable terms, if at all. We face significant competition in seeking appropriate partners. Whether we reach a definitive agreement for a BD Arrangement will depend, among other things, upon the potential partner’s evaluation of the subject product candidate and its market opportunity, our assessment of the partner’s resources and expertise and the terms and conditions of the potential BD Arrangement. In the absence of such BD Arrangements for these programs, we are unlikely to be able to advance their development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also restricted under our existing Amended Collaboration Agreement with Merck, and may be restricted under future BD Arrangements, from entering into additional agreements on certain terms with potential partners. For example, under the current terms of the Amended Collaboration Agreement, we may not directly or indirectly research, develop, manufacture or commercialize, except pursuant to the Amended Collaboration Agreement, any medicine or product candidate that modulates a target then subject to the collaboration with specified activity. In addition, under the Amended Collaboration Agreement, we are prohibited from, directly or indirectly, researching, developing or commercializing any product for the treatment of heart failure with preserved ejection fraction during the research phase for the cardiovascular or metabolic-, or CVM-, related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not be able to raise adequate additional capital or negotiate potential future BD Arrangements on a timely basis, on acceptable terms or at all. If we are unable to do so, we may need to significantly delay, scale back or discontinue development of or abandon some or all of our product candidates, or scale back or discontinue our discovery research efforts, any of which could have a material adverse effect on our business, operating results and prospects, or we may be required to cease operations altogether.</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Raising additional capital may cause dilution to our existing stockholders, lead to restrictions on our operations or require us to relinquish rights to our product candidates or intellectual property.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Our ability to raise capital may be adversely impacted by the trading prices of our common stock given our stock price performance over the past year.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Risks Related to Our Dependence on Third Parties</w:t>
      </w:r>
    </w:p>
    <w:p>
      <w:pPr>
        <w:pStyle w:val="TextBody"/>
        <w:bidi w:val="0"/>
        <w:spacing w:lineRule="auto" w:line="288" w:before="180" w:after="120"/>
        <w:jc w:val="both"/>
        <w:rPr>
          <w:rFonts w:ascii="Arial;sans-serif" w:hAnsi="Arial;sans-serif"/>
          <w:b/>
          <w:i/>
          <w:color w:val="000000"/>
          <w:sz w:val="20"/>
        </w:rPr>
      </w:pPr>
      <w:r>
        <w:rPr>
          <w:rFonts w:ascii="Arial;sans-serif" w:hAnsi="Arial;sans-serif"/>
          <w:b/>
          <w:i/>
          <w:color w:val="000000"/>
          <w:sz w:val="20"/>
        </w:rPr>
        <w:t>Funding from Merck under the collaboration after December 31, 2023 is expected to be minimal, and we may never realize the anticipated benefits to us of the collaboration.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described in more detail under “Business-Licensing and Collaboration Arrangements-Merck Collaboration” in Part I, Item 1 of our 2022 Annual Report on Form 10-K and under “Management’s Discussion and Analysis of Financial Condition and Results of Operations-Overview of Our Business-Business Development and Merck Collaboration Updates” in Part I, Item 2 of this Quarterly Report on Form 10-Q, our continuing Merck collaboration involves a complex allocation of rights, provides for certain limited R&amp;D funding and, for remaining collaboration preclinical candidates for which Merck exercises its license option, if any, provides us with either milestone payments based on the achievement of specified clinical development, regulatory and commercial milestones and royalty-based revenue if certain product candidates are successfully commercialized or a cost and profit share arrangement with the possibility that we would provide sales representatives to co-detail the product candidates that Merck elects to advance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level of R&amp;D funding we expect to receive from Merck will be limited and will continue to be substantially lower on an annual basis than the funding previously provided by Merck. In this regard, for the period that started on July 1, 2023 and ends on March 31, 2024, we expect to receive funding of only approximately $0.6 million in the aggregate from Merck for the ongoing activities under the Amended Collaboration Agreement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certain costs and reimbursements related to the NGM621 program. Funding from Merck after December 31, 2023 is expected to be minimal.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in January 2023, we announced that Merck notified us of its decision to terminate the Phase 2b trial of NGM313 (MK-3655) in patients with nonalcoholic steatohepatitis, or NASH, and liver fibrosis stage 2 or 3, or F2/F3, and Merck subsequently provided us with the required 90-days' notice of partial termination of the Amended Collaboration Agreement as it relates to NGM313 (MK-3655) and its related compounds. As a result, in April 2023, the license rights granted to Merck in 2018 with respect to NGM313 (MK-3655) reverted to us and the program is now wholly-owned by us. Further development of NGM313 (MK-3655) is primarily dependent on our ability to secure potential future BD Arrangements. We have not yet received the full set of clinical data from the terminated Phase 2b trial from Merck, other than the topline data previously disclosed, and we will need to access and analyze that data in order to pursue such BD Arrangements. In the absence of such BD Arrangements, we are unlikely to be able to advance development of NGM313 (MK-3655)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Similarly, in October 2022, we announced that our Phase 2 CATALINA trial evaluating NGM621 in patients with geographic atrophy, or GA, secondary to age-related macular degeneration, or AMD, did not meet its primary endpoint and, in December 2022, Merck notified us that it would not exercise its option to license NGM621 and its related compounds or the related ophthalmology bundle option and, as a result, those options expired unexercised in January 2023. Further, Merck did not elect for us to continue to conduct R&amp;D on any compounds from our other ophthalmology programs that were subject to the collaboration, which are preclinical and directed to undisclosed targets. Such an election would have resulted in an extended or tail period in which Merck would continue to fund our R&amp;D of such ophthalmology compounds. Because Merck did not make such an election, we do not have any funding from Merck to pursue such ophthalmology programs after we complete certain wind down activities related to NGM621, and if we choose to develop these programs further, we will be responsible for funding them. As a result, while our ophthalmology programs, including NGM621, are now wholly-owned by us, further development of those programs is primarily dependent on our ability to secure potential future BD Arrangements and, in the absence of such BD Arrangements, we are unlikely to be able to advance development of NGM621 or the preclinical ophthalmology programs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do not know whether Merck will elect to exercise its option to license any CVM-related preclinical candidates that remain subject to the collaboration. Accordingly, the anticipated benefits to us of the collaboration with Merck may never be realized and it is possible that the Amended Collaboration Agreement will be terminated without Merck exercising its option to license any other programs or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Moreover, under the Amended Collaboration Agreement, Merck has the unilateral right to terminate all or part of the agreement at certain times and under certain circumstances. Merck also may unilaterally terminate its R&amp;D funding for programs that remain within the scope of the collaboration if we are acquired by a third party or in the event of an uncured material breach by us. Subject to certain limitations, Merck may partially terminate the Amended Collaboration Agreement for convenience as it relates to any future licensed program, as they did with respect to NGM313 (MK-3655) in April 2023 and with respect to our growth differentiation factor 15, or GDF15, agonist program, which included product candidates NGM395 and NGM386, in 2019. Merck may also unilaterally terminate the Amended Collaboration Agreement as it relates to its rights to research and develop small molecule compounds. It may also unilaterally terminate the Amended Collaboration Agreement with respect to a specific licensed program in the event of an uncured material breach by us. If Merck terminates a program as a result of our uncured material breach, then we would lose our option to participate in a global cost and profit share arrangement if not yet exercised as of the time of termination and lose our co-detailing option (whether or not exercised as of that time) for the relevant licensed program.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Merck terminates funding or terminates the Amended Collaboration Agreement, it could delay or preclude our ability to further our CVM-related research programs, which could materially and adversely affect our business. In addition, in the event that Merck decides to take over any CVM-related preclinical candidates that remain within the scope of the collaboration for development during any tail period, or exercises its license option for any such preclinical candidate, we could be subject to disputes with Merck with respect to their obligation to use commercially reasonable efforts with respect to the development and commercialization of the affected product candidate, and we could otherwise be subject to disputes with Merck over the scope of the parties’ respective rights under the Amended Collaboration Agreement, any of which could delay or preclude the development or commercialization of the affected product candidate and involve us in costly and time-consuming arbitration and litigation, which could divert management attention and resources and otherwise negatively affect our business and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depend in the future on BD Arrangements with third-party partners for the development and commercialization of our product candidates and for revenue. If we are unable to secure those BD Arrangements on beneficial terms, if at all, or if any such future arrangements are not successful, we may not be able to capitalize on the market potential of our product candidates or continue their development.</w:t>
      </w:r>
    </w:p>
    <w:p>
      <w:pPr>
        <w:pStyle w:val="TextBody"/>
        <w:bidi w:val="0"/>
        <w:spacing w:lineRule="auto" w:line="288" w:before="120" w:after="120"/>
        <w:ind w:left="0" w:right="0" w:firstLine="720"/>
        <w:jc w:val="both"/>
        <w:rPr/>
      </w:pPr>
      <w:r>
        <w:rPr>
          <w:rFonts w:ascii="Arial;sans-serif" w:hAnsi="Arial;sans-serif"/>
          <w:b w:val="false"/>
          <w:color w:val="000000"/>
          <w:sz w:val="20"/>
          <w:shd w:fill="FFFFFF" w:val="clear"/>
        </w:rPr>
        <w:t>Pursuing BD arrangements has been and is expected to continue to be a key component of our strategy, and we are seeking BD Arrangements with third-party partners to progress, in whole or in part, the development of one or more of our product candidates. While we may opportunistically consider BD Arrangements to advance development of our solid tumor oncology programs, the further development of other programs in our pipeline, including NGM621, aldafermin, NGM313 (MK-3655)</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NGM936, is primarily dependent on our ability to secure potential future BD Arrangements for these programs. Due to the need to conserve capital and prioritize focused execution and unless our portfolio prioritization changes, if we are unable to secure BD Arrangements for these programs on beneficial terms, if at all, we are unlikely to be able to advance their development unless our portfolio prioritization changes and we are able to secure the additional capital necessary to fund such development, and may discontinue or abandon any or all of these programs altogether, in which case we will not realize any return on our investments in these programs. Even if we are successful in entering into any BD Arrangements with third-party partners for our programs, we will likely have limited control over the amount and timing of resources that our partners dedicate to the development or commercialization of the applicable product candidates. Our ability to generate revenue from any such arrangement will depend on the specific financial terms we reach with any partner, as well as each of our partners’ abilities to successfully perform the functions assigned to them in such arrangement towards developing, seeking regulatory approval for and commercializing our product candidates.</w:t>
      </w:r>
    </w:p>
    <w:p>
      <w:pPr>
        <w:pStyle w:val="TextBody"/>
        <w:bidi w:val="0"/>
        <w:spacing w:lineRule="auto" w:line="288" w:before="120" w:after="120"/>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BD Arrangements involving our product candidates pose risks to us, including the following:</w:t>
      </w:r>
    </w:p>
    <w:p>
      <w:pPr>
        <w:pStyle w:val="TextBody"/>
        <w:bidi w:val="0"/>
        <w:spacing w:lineRule="auto" w:line="288" w:before="60" w:after="60"/>
        <w:ind w:left="0" w:right="0" w:hanging="360"/>
        <w:jc w:val="both"/>
        <w:rPr/>
      </w:pPr>
      <w:r>
        <w:rPr>
          <w:color w:val="000000"/>
          <w:shd w:fill="FFFFFF" w:val="clear"/>
        </w:rPr>
        <w:t>•</w:t>
      </w:r>
      <w:r>
        <w:rPr>
          <w:rFonts w:ascii="Arial;sans-serif" w:hAnsi="Arial;sans-serif"/>
          <w:b w:val="false"/>
          <w:color w:val="000000"/>
          <w:sz w:val="20"/>
        </w:rPr>
        <w:t>Partners have significant discretion in determining the efforts and resources that they will apply to these arrangements. For example, under the terms of the collaboration with Merck, if Merck exercises its option to acquire an exclusive license for any CVM-related preclinical candidate that remains within the scope of the collaboration, our ability to influence the resources Merck devotes to such candidate are substantially reduced until such time, if any, that we exercise our right to participate in a cost and profit share arrangement. Even after we exercise that right to participate in a cost and profit share arrangement, our ability to influence Merck will be limited.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might opt not to pursue development and commercialization of our product candidates or not to continue or renew development or commercialization programs based on clinical trial results, changes in the partner’s strategic focus or available funding or external factors, such as an acquisition that diverts resources or creates competing priorities. For example, in June 2021, we and Merck entered into the Amended Collaboration Agreement that covers a narrower scope, focused primarily on ophthalmology- and CVM-related therapeutic areas, than had been covered under the original collaboration agreement we entered into with Merck in 2015. In addition, under the terms of the Amended Collaboration Agreement, it is possible for Merck to unilaterally terminate any other future licensed program, if any, (whether or not we have exercised our cost and profit share option) upon prior written notice, such as it did for NGM386 and NGM395 in 2019 and most recently for NGM313 (MK-3655), without triggering a termination of the remainder of the Amended Collaboration Agreement. Moreover, Merck might also opt not to designate any collaboration preclinical candidates for further development during the tail period following the end of the research phase or exercise any of its options to acquire a license to a product candidate, as it did with respect to the preclinical ophthalmology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may delay clinical trials, provide insufficient funding for a clinical trial program, request the suspension or termination of a clinical trial or abandon a product candidate, repeat or conduct new clinical trials or require a new formulation of a product candidate for clinical testing.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could independently develop, or develop with third parties, products that compete directly or indirectly with our product candidates if the partners believe that competitive products are more likely to be successfully developed or can be commercialized under terms that are more economically attractive than ours.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partner with marketing and distribution rights might not commit sufficient resources to the marketing and distribution of our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Partners might not properly maintain or defend our intellectual property rights or may use our proprietary information in such a way as to invite litigation that could jeopardize or invalidate our proprietary information or expose us to potential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Disputes may arise between the partners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We may lose certain valuable rights under circumstances identified in our BD Arrangements, including, in the case of our collaboration with Merck, if we undergo a change in control.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BD Arrangements might be terminated and, if terminated, may result in a need for additional capital to pursue further development or commercialization of the applicable product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BD Arrangements might not lead to development or commercialization of product candidates in the most efficient manner, or at all. If a present or future partner of ours were to be involved in a business combination, the continued pursuit of and emphasis on our product development or commercialization program under such arrangement could be delayed, diminished or terminated.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not be able to obtain and maintain the relationships with third parties that are necessary to develop, commercialize and manufacture some or all of our product candidates.</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In addition to our dependence on any potential future partners, we expect to depend on other third parties, including contract research organizations, or CROs, clinical data management organizations, clinical investigators, contract manufacturing organizations/contract development and manufacturing organizations, or CMOs, and other third-party partners and service providers to support our discovery efforts, to formulate product candidates, to conduct our clinical trials and certain aspects of our research and preclinical studies, to manufacture clinical and commercial-scale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manufacturing or commercialization of our product candidates or any future products, which could harm our results of operations. For more information, see the risk factors titled </w:t>
      </w:r>
      <w:r>
        <w:rPr>
          <w:color w:val="000000"/>
        </w:rPr>
        <w:t>“</w:t>
      </w:r>
      <w:r>
        <w:rPr>
          <w:rFonts w:ascii="Arial;sans-serif" w:hAnsi="Arial;sans-serif"/>
          <w:b w:val="false"/>
          <w:i/>
          <w:color w:val="000000"/>
          <w:sz w:val="20"/>
        </w:rPr>
        <w:t xml:space="preserve">We rely completely on CMOs for the manufacture of our product candidates, and we are subject to many manufacturing risks, any of which could substantially increase our costs and limit supply of our product candidates and any future products" </w:t>
      </w:r>
      <w:r>
        <w:rPr>
          <w:rFonts w:ascii="Arial;sans-serif" w:hAnsi="Arial;sans-serif"/>
          <w:b w:val="false"/>
          <w:color w:val="000000"/>
          <w:sz w:val="20"/>
        </w:rPr>
        <w:t xml:space="preserve">and </w:t>
      </w:r>
      <w:r>
        <w:rPr>
          <w:color w:val="000000"/>
        </w:rPr>
        <w:t>“</w:t>
      </w:r>
      <w:r>
        <w:rPr>
          <w:rFonts w:ascii="Arial;sans-serif" w:hAnsi="Arial;sans-serif"/>
          <w:b w:val="false"/>
          <w:i/>
          <w:color w:val="000000"/>
          <w:sz w:val="20"/>
        </w:rPr>
        <w:t>We have no experience in sales, marketing and distribution and may have to enter into agreements with third parties to perform these functions, which could prevent us from successfully commercializing our product candidates.”</w:t>
      </w:r>
      <w:r>
        <w:rPr>
          <w:color w:val="000000"/>
        </w:rPr>
        <w:t xml:space="preserv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guarantee that we or, as applicable, any of our partners will be able to successfully negotiate agreements for, and maintain relationships with, third-party partners and service providers on favorable terms, if at all. If we or any of our partners are unable to obtain and maintain these agreements, we may not be able to clinically develop, formulate, manufacture, obtain regulatory approvals for or commercialize our product candidates, which will, in turn, adversely affect our business. If we or any of our partners need to enter into alternative arrangements, it would delay our product development and, if applicable, commercialization activities and such alternative arrangements may not be available on terms acceptable to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to continue to expend substantial management time and effort to enter into relationships with third parties and, if we successfully enter into such relationships, to manage these relationships. In addition, our reliance on these third parties for R&amp;D activities reduces our control over these activities but does not relieve us of our responsibilities. For example, we remain responsible for ensuring that each of our clinical trials is conducted in accordance with the general investigational plan and protocols for the trial. However, we cannot control the amount or timing of resources our partners will devote to our R&amp;D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or other R&amp;D activities in accordance with regulatory requirements, we will not be able to obtain, or may be delayed in obtaining, marketing approvals for our product candidates and will not be able to, or may be delayed in our efforts to, successfully commercialize any approved products.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Any agreements we have or may enter into with third-party partners and service providers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development programs, compromise our ability to renew agreements or obtain future agreements, lead to the loss of intellectual property rights, result in increased financial obligations for us or result in costly and time-consuming arbitration or litigation.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rely completely on CMOs for the manufacture of our product candidates, and we are subject to many manufacturing risks, any of which could substantially increase our costs and limit supply of our product candidates and any future products.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limited process development capabilities and require the services of third-party CMOs to provide additional process development and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availability of drug product to use in our clinical trials and for regulatory compliance and quality assurance with respect to such drug product,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biologics, and the manufacture of biologic products is complex, highly regulated and requires significant expertise and capital investment, including the development of advanced manufacturing techniques and process controls. As a result, the manufacture of our product candidates is subject to many risks, including the following, some of which we have experienced: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product loss or other negative consequences due to contamination, equipment failure, improper installation or operation of equipment, vendor or operator error, shortages of qualified personnel or improper delivery or storage conditions;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negative consequences of failure to comply with strictly enforced federal, state and foreign regulations;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minor deviations from normal manufacturing processes, which have in the past and may in the future result in reduced production yields, product defects and other supply disruptions;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presence of microbial, viral or other contaminants discovered in our product candidates or in the manufacturing facilities in which they are made, which can necessitate closure of facilities for an extended period of time to investigate and eliminate the contamination;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negative consequences of our CMOs’ failure to qualify upon an audit by regulatory authorities, by us or by our collaborators;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CMOs’ changing strategies and business priorities, which can affect the availability of facilities where we intend to manufacture our product candidates;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CMOs or their manufacturing facilities being adversely affected by labor, raw material and component shortages, turnover of qualified staff or financial difficulties of their owners or operators, including as a result of the effects of financial market disruptions and economic slowdowns, or by disease outbreaks, epidemics, pandemics, natural disasters, power failures, local political unrest or other factors.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example, a CMO that produces aldafermin drug product was recently inspected by the FDA and received multiple critical Form 483 observations on one of its aseptic fill/finish lines. If the CMO fails to address the FDA's concerns to the agency's satisfaction through the CMO's corrective actions, the CMO may receive additional warnings and, if we were to seek regulatory approval of aldafermin, any product that is manufactured on such line may not be qualified by the FDA, which could delay regulatory timelines significantly.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cannot ensure that issues relating to the manufacture or testing of our product candidates, such as those described above, will not occur or continue to occur in the future and if we or our CMOs experience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issues there could be a shortage of drug substance or drug product for use in our clinical trials, which could delay clinical and regulatory timelines significantly and have an adverse effect on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accelerated or expanded early clinical trials or larger, later clinical trials and for commercialization if we advance any of our product candidates through regulatory approval and to commercialization.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transfer of our small-scale manufacturing processes to CMOs for scale up and validation and any later scale up and validation of the manufacturing process in the CMOs’ facilities to manufacture larger quantities, involve difficult and complex processes. We may not be successful in transferring our production system to a CMO, either because it is unable to implement the process successfully in its facilities or for other reasons. Later scale-up activities are also difficult and costly and entail risks such as process reproducibility, stability, consistency and other technical challenges. If we are unable to adequately validate or scale 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Similarly, we or our CMOs may make changes to our product candidates’ manufacturing processes at various points in product development for many reasons, including scaling up, facility fit, raw material or component availability, decreasing costs or timing of production, improving processing robustness and reliability, decreasing processing times or others. Such changes require further validation and may have unintended consequences, which could include causing our product candidates to perform differently when administered in clinical trials and affecting clinical trial results. In some circumstances, we may be required to perform comparability or other studies to demonstrate that the product used in earlier clinical trials or at earlier stages of a trial are comparable to the product we intend to use in later trials or later stages of an ongoing trial. These efforts are expensive and there is no assurance that they will be successful, which could impact our ability to continue or initiate clinical trials in a timely manner, or at 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drug substance or drug product that fails to meet specifications or cannot be used before its expiration date. In addition, for out of specification materials, we may need to undertake costly remediation efforts or manufacture new batches at considerable cost and time delays or, in the longer run, seek more expensive manufacturing alternatives.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or require us to change our intended manufacturing plans based on their strategies and priorities. Single sourcing also imposes a risk of interruption or delays in supply in the event of manufacturing, quality or compliance difficulties and/or other difficulties in timely supplying us with materials. For example, our investigational new drug application, or IND, submissions for NGM438 and NGM831 were delayed due to challenges at one of our CMOs, primarily related to analytical method qualification and release testing for those product candidates. It is possible that we could experience further supply-related delays that would adversely affect our ability to commence first-in-human testing of product candidates on our anticipated timing. Moreover, we do not currently have arrangements in place for redundant supply for drug substance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trials with respect to the affected product candidates which would adversely affect our ability to continue and complete clinical trials on our anticipated timing or at 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use certain raw materials for their production, such as reagents that support cell growth, purification materials and testing and manufacturing supplies. Some of these materials only have a single supplier and are purchased as necessary without a long-term supply agreement in place. In addition, our drug products may require the use of syringe or other components, some of which have been the subject of shortages amplified by the COVID-19 pandemic due to their use in, among other things, COVID-19 vaccine production. If our CMOs are required to obtain an alternative source of certain raw materials and components, additional testing, validation activities and regulatory approvals may be required, which may negatively impact manufacturing and other development timelines. For example, one of our CMOs experienced shortages of the specific cell culture media used to manufacture one of our products due to global supply chain challenges and, while we have been successful in obtaining a replacement product, these types of substitutions may require additional and unplanned testing, qualification or validation activities. Any significant delay in the acquisition or decrease in the availability of these materials, components or other items, or failure to successfully qualify or validate alternative materials or components, could considerably delay the manufacture of our product candidates, which could adversely impact the timing or completion of any ongoing and planned trials or the timing of regulatory approvals, if any, of our product candidates.</w:t>
      </w:r>
    </w:p>
    <w:p>
      <w:pPr>
        <w:pStyle w:val="TextBody"/>
        <w:bidi w:val="0"/>
        <w:spacing w:lineRule="auto" w:line="288" w:before="120" w:after="120"/>
        <w:ind w:left="0" w:right="0" w:firstLine="720"/>
        <w:jc w:val="both"/>
        <w:rPr/>
      </w:pPr>
      <w:r>
        <w:rPr>
          <w:rFonts w:ascii="Arial;sans-serif" w:hAnsi="Arial;sans-serif"/>
          <w:b w:val="false"/>
          <w:color w:val="000000"/>
          <w:sz w:val="20"/>
        </w:rPr>
        <w:t>In addition, our CMOs’ facilities and operations have been adversely affected by labor, raw material and component shortages, high turnover of staff and difficulties in hiring trained and qualified replacement staff and the operations of our CMOs may be requisitioned, diverted or allocated by U.S. or foreign government orders such as under emergency, disaster and civil defense declarations in connection with the COVID-19 pandemic or otherwise. For a discussion of how the COVID-19 pandemic has affected or may affect drug or related component supplies for our clinical trials, refer to the risk factor titled “</w:t>
      </w:r>
      <w:r>
        <w:rPr>
          <w:rFonts w:ascii="Arial;sans-serif" w:hAnsi="Arial;sans-serif"/>
          <w:b w:val="false"/>
          <w:i/>
          <w:color w:val="000000"/>
          <w:sz w:val="20"/>
        </w:rPr>
        <w:t>Our business could be materially and adversely affected in the future by the effects of disease outbreaks, epidemics and pandemics, including the COVID-19 pandemic.</w:t>
      </w:r>
      <w:r>
        <w:rPr>
          <w:color w:val="000000"/>
        </w:rPr>
        <w:t xml:space="preserve">” </w:t>
      </w:r>
      <w:r>
        <w:rPr>
          <w:rFonts w:ascii="Arial;sans-serif" w:hAnsi="Arial;sans-serif"/>
          <w:b w:val="false"/>
          <w:color w:val="000000"/>
          <w:sz w:val="20"/>
        </w:rPr>
        <w:t>Changes in economic conditions, supply chain constraints, labor, raw material and component shortages and steps taken by governments and central banks, particularly in response to the COVID-19 pandemic as well as other stimulus and spending programs, could also lead to higher inflation than previously experienced or expected, which could, in turn, lead to an increase in costs.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Some of our product candidates are currently solely manufactured at a facility in Lithuania. Following Russia's invasion of Ukraine in February 2022, the response from the United States and its allies has included both significant sanctions and NATO's deployment of additional military forces to Eastern Europe, including to Lithuania. The ongoing conflict between Russia and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further delays or interruptions in the supply of clinical trial material could delay the completion or initiation of our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have no experience in sales, marketing and distribution and may have to enter into agreements with third parties to perform these functions, which could prevent us from successfully commercializing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if any, or for which Merck decides not to exercise its license option,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pStyle w:val="TextBody"/>
        <w:bidi w:val="0"/>
        <w:spacing w:lineRule="auto" w:line="288" w:before="300" w:after="120"/>
        <w:jc w:val="center"/>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product candidates must undergo rigorous clinical trials before seeking regulatory approvals, and clinical trials may be delayed, suspended or terminated at any time for many reasons, any of which could delay or prevent regulatory approval and, if approval is granted, commercialization of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All of our product candidates are subject to rigorous and extensive clinical trials before we can seek regulatory approval from the FDA and comparable foreign health authorities such as the European Commission. Clinical trials may be delayed, suspended or terminated at any time for reasons including but not limited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ongoing discussions with the FDA or comparable foreign health authorities regarding the scope or design of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in obtaining, or the inability to obtain, required approvals from IRBs and ethics committees or other governing entities at clinical trial sites selected for participation in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in patient enrollment and other key trial activities, including as a result of events such as the COVID-19 pandemic or the significant competition for recruiting patients with cancer in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in reaching agreement on acceptable terms with prospective CROs and the failure of CROs, testing laboratories and other third parties to satisfy their contractual duties to us or meet expected deadlines;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deviations from the trial protocol by clinical trial sites and investigators, or failures to conduct the trial in accordance with regulatory requirements;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lower than anticipated retention rates of participants in clinical trials, including patients dropping out due to side effects, disease progression or concerns about the COVID-19 pandemic;</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of enrolled patients to complete treatment or to return for post-treatment follow-up;</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for clinical trials in selected patient populations, delays in identification and auditing of central or other laboratories and the transfer and validation of assays or tests to be used to identify selected patients and test any patient samples;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implementation of new, or changes to, guidance or interpretations from the FDA or comparable foreign health authorities with respect to approval pathways for product candidates we are pursuing;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need to repeat clinical trials as a result of inconclusive or negative results, poorly executed testing or changes in required endpoints;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withdrawal of clinical trial sites or investigators from our clinical trials for any reason, including as a result of changing standards of care or the ineligibility of a site to participate in our clinical trials;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unfavorable FDA or comparable foreign health authority inspection or review of a clinical trial site or records of any clinical or preclinical investigation;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drug-related adverse effects or tolerability issues experienced by participants in our clinical trials;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government regulations or administrative actions;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lack of adequate funding to continue the clinical trials;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hire and retain key R&amp;D personnel;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placement of a clinical hold on a trial by the FDA or comparable foreign health authorities.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cannot guarantee that we will be able to successfully accomplish required regulatory and/or manufacturing activities or all of the other activities necessary to initiate and complete clinical trials in a timely fashion, if at all. As a result, our preclinical studies and clinical trials may be extended, delayed or terminated, and we may be unable to obtain regulatory approvals or successfully commercialize our products. In addition, we have only limited experience in conducting late-stage clinical trials required to obtain regulatory approval. In any event, we do not know whether any of our clinical trials will begin as planned, will need to be restructured or will be completed on schedule,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partners’ inability to timely complete clinical development could result in additional costs to us or impair our ability to generate product revenue or development, regulatory, commercialization and sales milestone payments and royalties on product sales.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are in early stages of development, with our most advanced product candidates only in Phase 2 development. Before obtaining marketing approval from health authorities for the sale of our product candidates, we or our partners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there is a high failure rate for drugs and biologic products proceeding through clinical trials and failure can occur at any stage of testing. For example, despite the results of preclinical and Phase 1 studies of NGM621, our Phase 2 CATALINA clinical trial evaluating NGM621 in patients with GA secondary to AMD did not meet its primary endpoint. Since Merck did not elect to exercise its option to license NGM621 and its related compounds, further development of NGM621 is primarily dependent on our ability to secure potential future BD Arrangements and, in the absence of such BD Arrangements, we are unlikely to be able to advance development of NGM621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pPr>
      <w:r>
        <w:rPr>
          <w:rFonts w:ascii="Arial;sans-serif" w:hAnsi="Arial;sans-serif"/>
          <w:b w:val="false"/>
          <w:color w:val="000000"/>
          <w:sz w:val="20"/>
        </w:rPr>
        <w:t>Similarly, our Phase 2b ALPINE 2/3 trial evaluating aldafermin in patients with F2/F3 NASH did not meet its primary endpoint and, as a result, we decided to suspend further development of aldafermin in patients with F2/F3 NASH, allowing for the reallocation of resources to advancing our other programs. For more information, refer to the risk factor titled “</w:t>
      </w:r>
      <w:r>
        <w:rPr>
          <w:rFonts w:ascii="Arial;sans-serif" w:hAnsi="Arial;sans-serif"/>
          <w:b w:val="false"/>
          <w:i/>
          <w:color w:val="000000"/>
          <w:sz w:val="20"/>
        </w:rPr>
        <w:t>Aldafermin is, and NGM313 (MK-3655) was, being developed, for the treatment of NASH, an indication for which there are no approved products. This makes it difficult to predict the timing, cost and potential success of their continued clinical development, if any, and regulatory approval for the treatment of NASH, or otherwise.</w:t>
      </w:r>
      <w:r>
        <w:rPr>
          <w:color w:val="000000"/>
        </w:rPr>
        <w:t xml:space="preserve">” </w:t>
      </w:r>
      <w:r>
        <w:rPr>
          <w:rFonts w:ascii="Arial;sans-serif" w:hAnsi="Arial;sans-serif"/>
          <w:b w:val="false"/>
          <w:color w:val="000000"/>
          <w:sz w:val="20"/>
        </w:rPr>
        <w:t>Further development of aldafermin is primarily dependent on our ability to secure potential future BD Arrangements and, in the absence of such BD Arrangements, we are unlikely to be able to advance development of aldafermin unless our portfolio prioritization changes and we are able to secure the additional capital necessary to fund such development.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comparable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pStyle w:val="TextBody"/>
        <w:bidi w:val="0"/>
        <w:spacing w:lineRule="auto" w:line="288" w:before="120" w:after="120"/>
        <w:ind w:left="0" w:right="0" w:firstLine="720"/>
        <w:jc w:val="both"/>
        <w:rPr/>
      </w:pPr>
      <w:r>
        <w:rPr>
          <w:rFonts w:ascii="Arial;sans-serif" w:hAnsi="Arial;sans-serif"/>
          <w:b w:val="false"/>
          <w:color w:val="000000"/>
          <w:sz w:val="20"/>
        </w:rPr>
        <w:t>We may also not be successful in generating clinical data sufficient to differentiate our product candidates from other products in the same therapeutic area. If our competitors' products are, or are perceived to be, more effective, more convenient, less costly or safer than our products, or we are unable to demonstrate differentiation in any of those factors, we may not be able to achieve a competitive position in the market. For more information, refer to the risk factor titled “</w:t>
      </w:r>
      <w:r>
        <w:rPr>
          <w:rFonts w:ascii="Arial;sans-serif" w:hAnsi="Arial;sans-serif"/>
          <w:b w:val="false"/>
          <w:i/>
          <w:color w:val="000000"/>
          <w:sz w:val="20"/>
        </w:rPr>
        <w:t>We face substantial competition, which may result in others discovering, developing or commercializing products before or more successfully than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If we are unable to successfully discover, develop or enable our partners to develop drugs that regulatory authorities deem effective and safe in humans, we will not have a viable business.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Success in preclinical studies or earlier-stage clinical trials may not be indicative of results in future clinical trials.</w:t>
      </w:r>
    </w:p>
    <w:p>
      <w:pPr>
        <w:pStyle w:val="TextBody"/>
        <w:bidi w:val="0"/>
        <w:spacing w:lineRule="auto" w:line="288" w:before="120" w:after="120"/>
        <w:ind w:left="0" w:right="0" w:firstLine="720"/>
        <w:jc w:val="both"/>
        <w:rPr/>
      </w:pPr>
      <w:r>
        <w:rPr>
          <w:rFonts w:ascii="Arial;sans-serif" w:hAnsi="Arial;sans-serif"/>
          <w:b w:val="false"/>
          <w:color w:val="000000"/>
          <w:sz w:val="20"/>
        </w:rPr>
        <w:t>To date, the data supporting our drug discovery and development programs are derived from laboratory and preclinical studies and earlier-stage clinical trials. Owing in part to the complexity of biological pathways, when used to treat human patients, our product candidates might not demonstrate the biochemical and pharmacological properties we anticipate based on laboratory studies or earlier-stage clinical trials, and they may interact with human biological systems or other drugs in unforeseen, ineffective or harmful ways. Success in preclinical studies and earlier-stage clinical trials does not ensure that later clinical trials will generate the same results or otherwise provide adequate data to demonstrate the effectiveness and safety of our product candidates. In this regard, the data supporting our drug discovery and development programs are derived from laboratory and preclinical studies, and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despite the results of preclinical and Phase 1 studies of NGM621, our Phase 2 CATALINA clinical trial evaluating NGM621 in patients with GA secondary to AMD did not meet its primary endpoint. Similarly, in spite of the results we had obtained in our Phase 1 trials of aldafermin and in our first Phase 2 trial, in May 2021, we announced that our Phase 2b ALPINE 2/3 trial evaluating aldafermin in patients with F2/F3 NASH did not meet its primary endpoint. For more information, refer to the risk factor titled “</w:t>
      </w:r>
      <w:r>
        <w:rPr>
          <w:rFonts w:ascii="Arial;sans-serif" w:hAnsi="Arial;sans-serif"/>
          <w:b w:val="false"/>
          <w:i/>
          <w:color w:val="000000"/>
          <w:sz w:val="20"/>
        </w:rPr>
        <w:t xml:space="preserve">If clinical trials of our product candidates fail to produce positive results or to demonstrate safety and efficacy to the satisfaction of the FDA or comparable health authorities or sufficient to demonstrate differentiation from other approved therapies or therapies in development, we may incur additional costs or experience delays in completing, or ultimately be unable to complete, the development and commercialization of our product candidates." </w:t>
      </w:r>
      <w:r>
        <w:rPr>
          <w:rFonts w:ascii="Arial;sans-serif" w:hAnsi="Arial;sans-serif"/>
          <w:b w:val="false"/>
          <w:color w:val="000000"/>
          <w:sz w:val="20"/>
        </w:rPr>
        <w:t>There can be no assurance that any clinical testing of our product candidates will be successful or will otherwise be supportive of continued development and/or regulatory approvals of such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some of our earlier-stage clinical trials involve small patient populations, sometimes at single sites, and the results of these clinical trials may be subject to substantial variability and may not be indicative of either future interim results or final results. As a general matter, there is also a substantial risk that Phase 3 trials with larger numbers of patients and/or longer durations of therapy will fail to replicate efficacy and safety results observed in earlier clinical trials.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Our product candidates may cause undesirable side effects or adverse events or have other properties or safety risks, which could delay or prevent continued clinical development or their regulatory approval or limit the commercial profile of any approved label.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further evaluate the safety profile of our product candidates. Patients in certain of our ongoing or planned clinical trials, particularly patients with cancer, often enter our trials with significant comorbidities or advanced life-threatening illness and/or are treated in the trial with our product candidate in combination with other medications, including, in cancer patients,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Patients experienced, and we reported, serious adverse events, or SAEs, in the treatment arms of completed trials of NGM313 (MK-3655), NGM621 and aldafermin.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For example, cancer patients enrolled in our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clinical trials of NGM120, NGM707, NGM831 and NGM438, many of whom are suffering from advanced life-threatening illness, have experienced, and we expect will continue to experience, SAEs and other adverse events, which may or may not be drug-related. If patients in any of our clinical trials experience a high or unacceptable severity and prevalence of side effects, including particularly SAEs, it could affect patient recruitment or the ability of enrolled patients to complete their treatment in a clinical trial, it may result in a regulatory authority putting a clinical hold on the clinical trial or it may result in failure to obtain regulatory approval for our product candidates or product liability claims.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product candidates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developed an assay to measure the presence of ADAs against aldafermin for our ongoing NASH program, which we are using to test patient samples and which will need to be evaluated by regulatory agencies. The presence of ADAs was also observed in our Phase 1 NGM313 (MK-3655) trial. If we are required to undertake substantial additional testing as a result of the detection of ADAs in subjects using aldafermin, NGM313 (MK-3655) or any other product candidate, the costs of our clinical trials may increase. If we determine that ADAs are causing safety or efficacy concerns when using any of our product candidates, we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We may not successfully identify new product candidates to expand our development pipeline.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success of our business over the longer term depends upon our ability to identify and validate new potential protein and antibody therapeutics. Research programs to identify new product candidates require substantial technical, financial and human resources, and our research methodology may not successfully identify medically relevant protein or antibody therapeutics to be developed as product candidates. In this regard, the recent resignation of Jin-Long Chen, Ph.D., who served as our Chief Scientific Officer, may adversely affect our ability to successfully identify new product candidates and to attract and retain the key scientific personnel necessary to do so. In addition, our drug discovery efforts often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additional new product candidates to advance into clinical trials could have a material adverse effect on our business, operating results and prospects.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fail to select or capitalize on the most scientifically, clinically and commercially promising or profitable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For example, our pipeline programs in development include product candidates in solid tumor oncology, and we are focusing most of our execution efforts and resources on these programs, intending to mainly advance them in generation of proof-of-concept data internally. However, our focus on the solid tumor oncology therapeutic area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be unsuccessful and may never lead to the development of viable commercial products. Similarly, our decisions to delay or terminate certain drug development programs to concentrate our resources elsewhere may be incorrect and could cause us to miss valuable opportunities.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share program that proves commercially successful.</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We must attract and retain highly skilled employees in order to succeed. If we are not able to retain our current senior management team, or to continue to attract and retain qualified scientific, technical and business personnel, our business will suffer.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April 2023, we announced a restructuring of our workforce, reducing our existing headcount by approximately 33%. At the same time, our founder, Dr. Jin-Long Chen, resigned from the Board and his position as Chief Scientific Officer. These significant changes have caused additional attrition of employees and may cause further attrition of employees, including senior management, and negatively affect employee morale. Additionally, as we are operating our business with fewer employees, including fewer members of senior management, the loss of a significant number of our remaining employees or of any of our current executive officers could result in a significant loss in the knowledge and experience that we, as an organization, possess and could cause significant delays, or outright failure, in the development and further commercialization of our product candidates.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is intense competition for qualified personnel, including management, in the technical fields in which we operate, particularly in the oncology field, and we may not be able to attract and retain qualified personnel necessary for the successful research, development and future commercialization, if any, of our product candidates. We recruit for talent in the biotechnology and pharmaceutical industry in the San Francisco Bay Area, which is one of the most competitive and highest cost labor markets in the United States and periodically experiences higher turnover rates than other industries. For example, in 2022, we continued to experience a challenging recruiting environment with relatively high rates of employees leaving the company to pursue other opportunities, particularly in the first three quarters of the year.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The labor market tightened significantly after the beginning of the COVID-19 pandemic. During the first couple of years of the COVID-19 pandemic, we experienced employee attrition at rates higher than we experienced historically, which may recur and could have a negative impact on our productivity. If we are unable to attract and retain high-quality personnel, the rate and success with which we can discover and develop product candidates and our business will be limited.</w:t>
      </w:r>
    </w:p>
    <w:p>
      <w:pPr>
        <w:pStyle w:val="TextBody"/>
        <w:bidi w:val="0"/>
        <w:spacing w:lineRule="auto" w:line="288" w:before="240" w:after="60"/>
        <w:jc w:val="both"/>
        <w:rPr>
          <w:rFonts w:ascii="Arial;sans-serif" w:hAnsi="Arial;sans-serif"/>
          <w:b/>
          <w:i/>
          <w:color w:val="000000"/>
          <w:sz w:val="20"/>
        </w:rPr>
      </w:pPr>
      <w:r>
        <w:rPr>
          <w:rFonts w:ascii="Arial;sans-serif" w:hAnsi="Arial;sans-serif"/>
          <w:b/>
          <w:i/>
          <w:color w:val="000000"/>
          <w:sz w:val="20"/>
        </w:rPr>
        <w:t xml:space="preserve">We face substantial competition, which may result in others discovering, developing or commercializing products before or more successfully than us.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seek to treat the same diseases that we are pursuing with our most advanced product candidates, particularly in the oncology field. Some of these pharmaceuticals in development are active, or seek to be active, against the same targets that our product candidates are engineered to effect, including the targets that are the focus of our immuno-oncology candidates, ILT2, ILT3, ILT4 and LAIR1. It is probable that the number of companies seeking to develop products and therapies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2"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that compete with our product candidates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and approval or marketing authorization from comparable health authorities such as the European Commission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collaboration or partnering relationships. Smaller and earlier-stage companies may also prove to be significant competitors, particularly through collaboration or partnering arrangements with large, established companies.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Although we believe there are no FDA- or European Commission-approved therapies that specifically target the signaling pathways that our current product candidates are designed to modulate or inhibit, 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“Business-Our Pipeline Programs” in our 2022 Annual Report on Form 10-K.</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product candidates may not achieve adequate market acceptance among physicians, patients, healthcare payors and others in the medical community necessary for commercial success.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Demonstrating the safety and efficacy of our product candidates and obtaining regulatory approvals will not guarantee future revenue. 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efficacy and safety profile of the product candidate as demonstrated in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timing of market introduction of the product candidate, as well as competitive products;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clinical indications for which the product candidate is approved;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acceptance of the product candidate as a safe and effective treatment by physicians and patients;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actual and perceived advantages of the product candidate over alternative treatments, including any similar generic treatments;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viewpoints of influential physicians with respect to the product candidate;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inclusion or exclusion of the product candidate from treatment guidelines established by various physician groups;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cost of treatment relative to alternative treatments;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3"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pricing and the availability of coverage and adequate reimbursement by third parties and government authorities as described in the risk factor titled “</w:t>
      </w:r>
      <w:r>
        <w:rPr>
          <w:rFonts w:ascii="Arial;sans-serif" w:hAnsi="Arial;sans-serif"/>
          <w:b w:val="false"/>
          <w:i/>
          <w:color w:val="000000"/>
          <w:sz w:val="20"/>
        </w:rPr>
        <w:t>Even if we obtain approval to market our products, these products may become subject to unfavorable pricing regulations, reimbursement practices from third-party payors or healthcare reform initiatives in the United States and abroad, which could harm our business</w:t>
      </w:r>
      <w:r>
        <w:rPr>
          <w:color w:val="000000"/>
        </w:rPr>
        <w:t>”</w:t>
      </w:r>
      <w:r>
        <w:rPr>
          <w:rFonts w:ascii="Arial;sans-serif" w:hAnsi="Arial;sans-serif"/>
          <w:b w:val="false"/>
          <w:color w:val="000000"/>
          <w:sz w:val="20"/>
        </w:rPr>
        <w: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relative convenience and ease of administration;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frequency and severity of adverse events;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effectiveness of sales and marketing efforts;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any unfavorable publicity relating to the product candidate.</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For example, aldafermin is currently administered via a once-daily subcutaneous injection, which may negatively impact market acceptance of an approved aldafermin product, if any. In addition, refer to the risk factor titled </w:t>
      </w:r>
      <w:r>
        <w:rPr>
          <w:color w:val="000000"/>
        </w:rPr>
        <w:t>“</w:t>
      </w:r>
      <w:r>
        <w:rPr>
          <w:rFonts w:ascii="Arial;sans-serif" w:hAnsi="Arial;sans-serif"/>
          <w:b w:val="false"/>
          <w:i/>
          <w:color w:val="000000"/>
          <w:sz w:val="20"/>
        </w:rPr>
        <w:t>Our product candidates may cause undesirable side effects or adverse events or have other properties or safety risks, which could delay or prevent continued clinical development or their regulatory approval or limit the commercial profile of any approved label.</w:t>
      </w:r>
      <w:r>
        <w:rPr>
          <w:rFonts w:ascii="Arial;sans-serif" w:hAnsi="Arial;sans-serif"/>
          <w:b w:val="false"/>
          <w:color w:val="000000"/>
          <w:sz w:val="20"/>
        </w:rPr>
        <w:t>" If any product candidate is approved but does not achieve an adequate level of acceptance by such parties, we may not generate or derive sufficient revenue from that product candidate and may not become or remain profitable.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European Union, or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 marketing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The advancement of healthcare reform may negatively impact our ability to profitably sell our product candidates, if approved.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For example, on August 16, 2022, President Biden signed the Inflation Reduction Act of 2022, or the IRA, into law, which among other things, (1) directs the U.S. Department of Health and Human Services, or HHS, to negotiate the price of certain single-source drugs and biologics covered under Medicare and (2) imposes rebates under Medicare Part B and Medicare Part D to penalize price increases that outpace inflation. These provisions took effect progressively starting in fiscal year 2023, although the Medicare drug price negotiation program is currently subject to legal challenges. It is currently unclear how the IRA will be implemented but is likely to have a significant impact on the pharmaceutical industry. Further, 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or the 2017 Tax Act, repealed the tax-based shared responsibility payment imposed by the ACA on certain individuals who fail to maintain qualifying health coverage that is commonly referred to as the “individual mandate.” On June 17, 2021, the U.S.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our product candidates, which would adversely affect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Many countries implement health technology assessment, or HTA, procedures that use formal economic metrics such as cost effectiveness to determine prices, coverage and reimbursement of new therapies. These assessments are increasingly implemented in established and emerging markets. In the EU, the newly-adopted Regulation (EU) 2021/2282 on Health Technology Assessment, or HTA Regulation, which will become effective in January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expect that countries will continue taking aggressive actions to seek to reduce expenditures on drugs. Similarly, fiscal constraints may also affect the extent to which countries are willing to approve new and innovative therapies and/or allow access to new technologies.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international operations may expose us to business, regulatory, political, operational, financial, pricing and reimbursement risks associated with doing business outside of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business is subject to risks associated with conducting business internationally. Some of our suppliers and clinical trial sites are located outside of the United States. Furthermore, if we, Merck or any future partner succeeds in developing any of our product candidates, we intend to market them in the EU and other jurisdictions in addition to the United States. If approved, we, Merck or any future partner may hire sales representatives and conduct physician and patient association outreach activities outside of the United States. Doing business internationally involves a number of challenges and risks, including but not limited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multiple, conflicting and changing laws and regulations, such as privacy and data protection regulations, tax laws, export and import restrictions, employment laws, regulatory requirements and other governmental approvals, permits and licenses;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by us to obtain and maintain regulatory approvals for the use of our products in various countries;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rejection or qualification of foreign clinical trial data by the competent authorities of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delays or interruptions in the supply of clinical trial material resulting from any events affecting raw material or component supply or manufacturing capabilities abroad;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additional potentially relevant third-party patent rights;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complexities and difficulties in obtaining, maintaining, protecting and enforcing our intellectual property;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difficulties in staffing and managing foreign operations;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complexities associated with managing multiple payor reimbursement regimes, government payors or patient self-pay systems;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limits on our ability to penetrate international markets;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financial risks, such as longer payment cycles, difficulty collecting accounts receivable, the impact of inflation and local and regional financial crises on demand and payment for our products and exposure to foreign currency exchange rate fluctuations;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natural disasters, political, geopolitical and economic instability, including wars such as the conflict between Russia and Ukraine, terrorism and political unrest, disease outbreaks, epidemics and pandemics, boycotts, curtailment of trade and other business restrictions;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of these factors could harm our ongoing international clinical operations and supply chain, as well as any future international expansion and operations and, consequently, our business, financial condition, prospects and results of operations.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Product liability lawsuits against us could cause us to incur substantial liabilities and to limit commercialization of any products that we may develop.</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face an inherent risk of product liability exposure related to the testing of our product candidates in human clinical trials and will face an even greater risk if we or our partner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decreased demand for any product candidates or products that we may develop;</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termination of clinical trial sites or entire trial programs;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injury to our reputation and significant negative media attention;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withdrawal of clinical trial participants;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significant costs to defend the related litigation;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substantial monetary awards to trial subjects or patients;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loss of revenue;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diversion of management and scientific resources from our business operations;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inability to commercialize any products that we may develop.</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Our relationships with healthcare providers, customers and third-party payors will be subject to applicable anti-kickback, fraud and abuse, transparency and other healthcare laws and regulations, which, if violated,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could expose us to criminal sanctions, civil penalties, contractual damages, reputational harm, administrative burdens and diminished profits and future earnings.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the federal False Claims Act, or FCA, imposes criminal and civil penalties, including through civil whistleblower or </w:t>
      </w:r>
      <w:r>
        <w:rPr>
          <w:rFonts w:ascii="Arial;sans-serif" w:hAnsi="Arial;sans-serif"/>
          <w:b w:val="false"/>
          <w:i/>
          <w:color w:val="000000"/>
          <w:sz w:val="20"/>
        </w:rPr>
        <w:t>qui tam</w:t>
      </w:r>
      <w:r>
        <w:rPr>
          <w:color w:val="000000"/>
        </w:rPr>
        <w:t xml:space="preserve"> </w:t>
      </w:r>
      <w:r>
        <w:rPr>
          <w:rFonts w:ascii="Arial;sans-serif" w:hAnsi="Arial;sans-serif"/>
          <w:b w:val="false"/>
          <w:color w:val="000000"/>
          <w:sz w:val="20"/>
        </w:rPr>
        <w:t>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HIPAA, as amended by the Health Information Technology for Economic and Clinical Health Act of 2009 and its implementing regulations, or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federal Physician Payments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expect to do business is found not to be in compliance with applicable laws, that person or entity may be subject to criminal, civil or administrative sanctions, including exclusions from government funded healthcare programs.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Our business could be materially and adversely affected in the future by the effects of disease outbreaks, epidemics and pandemics, including the COVID-19 pandemic.</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Disease outbreaks, epidemics and pandemics, such as the COVID-19 pandemic, in regions where we have concentrations of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our product candidates, if at all. For example, our ability to attract additional clinical trial sites and principal investigators to conduct our clinical trials and to conduct the necessary clinical trial site initiation procedures was impacted by COVID-19 quarantines, shelter-in-place and similar restrictions imposed by federal, state and local governments. In addition, during the COVID-19 pandemic, we experienced, from time to time, a slower pace of clinical site initiation and clinical trial enrollment and a higher subject dropout rate than originally anticipated in certain of our clinical trials, which we believe may have been due to factors such as the vulnerability of our studied patient populations, site staff shortages, clinical trial site suspensions, reallocation of medical resources and the challenges of working remotely due to shelter-in-place and similar government orders and guidelines, among other factors.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General supply chain issues may be exacerbated during disease outbreaks, epidemics and pandemics and may also impact the ability of our clinical trial sites to obtain basic medical supplies used in our trials in a timely fashion, if at all. For example, in 2022 we were made aware of a shortage of tubes required for taking blood samples, requiring the use of tubes of a different size from those specified in one of our protocols. In addition, our CMOs’ facilities and operations have been adversely affected by labor, raw material and component shortages, high turnover of staff and difficulties in hiring trained and qualified replacement staff during the COVID-19 pandemic. These difficulties have resulted in some delays in early development timelines and we could experience more significant disruptions to our supply chain and operations as a result of disease outbreaks, epidemics or pandemics in the future. 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Likewise, the operations of our third-party manufacturers may be requisitioned, diverted or allocated by U.S. or foreign government orders such as under emergency, disaster and civil defense declarations in connection with the COVID-19 pandemic or otherwise. For example, early in the COVID-19 pandemic, our aldafermin drug product CMO advised us that it could be required under orders of the U.S. government to allocate manufacturing capacity to the manufacture or distribution of COVID-19 vaccines.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Moreover, COVID-19 continues to evolve, and the extent to which COVID-19 may impact our business, results of operations and financial position will depend on future developments, which are highly uncertain and cannot be predicted with confidence, such as the emergence, infectiousness and severity of new variants, travel restrictions, quarantines and social distancing in the United States and other countries, business closures or business disruptions, global supply challenges, and the effectiveness of actions in the United States and other countries to contain and treat the disease. New health epidemics or pandemics may emerge that result in similar or more severe disruptions to our business. To the extent the effects of the COVID-19 pandemic, or any future disease outbreak, epidemic or pandemic, adversely affects our business and results of operations, it also may have the effect of heightening many of the other risks and uncertainties described elsewhere in this ‘"Risk Factors"’ section.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Risks Related to Regulatory Approvals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The regulatory approval processes of the FDA and comparable foreign health authorities are lengthy and inherently unpredictable. Our inability to obtain regulatory approval for our product candidates would substantially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product candidates could fail to receive regulatory approval from the FDA or a comparable foreign health authority for many reasons, including:</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disagreement with the design or implementation of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to demonstrate that a product candidate is safe and effective for its proposed indication;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of results of clinical trials to meet the level of statistical significance required for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failure to demonstrate that a product candidate’s clinical and other benefits outweigh its safety risks;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disagreement with our interpretation of data from preclinical studies or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insufficiency of data collected from clinical trials to support the submission and filing of a BLA or other submission or to obtain regulatory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failure to obtain approval of the manufacturing processes or facilities of third-party manufacturers with whom we contract for clinical and commercial supplies;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unfavorable quality review or audit/inspection findings;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the approval policies or regulations that render our preclinical and clinical data insufficient for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accelerated approval or conditional marketing authorization based on a surrogate endpoint and contingent on the successful outcome of costly post-marketing confirmatory clinical trials or may approve a product candidate with a label that does not include the labeling claims necessary or desirable for the successful commercialization of that product candidate.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a future partner seek accelerated approval for one of our product candidates based on a surrogate endpoint, the FDA may not accept such endpoint, may require additional studies or analysis or may not approve our product candidate on an accelerated basis, or at all. In addition, if full approval is granted for another product in the same indication for which we are seeking accelerated approval for one of our product candidates, the accelerated approval pathway may no longer be available to us or a future partner for our product candidate.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EU, 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Sponsors that benefit from PRIME designation are potentially eligible for accelerated assessment of their marketing authorization applications, although this is not guaranteed. If a product for which PRIME designation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granted is the subject of an accelerated assessment, the product may be placed on the market in the EU before our product candidate with a similar therapeutic indication.</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Our failure to obtain health authority approval in foreign jurisdictions would prevent us from marketing our product candidates outside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our partners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pricing and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Even if our product candidates receive regulatory approval, they may still face future development and regulatory difficulties.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REMS, or similar strategy, impose significant restrictions on a product’s indicated uses or marketing or impose ongoing requirements for potentially costly post-approval studies or post-market surveillance. Failure to comply with any related obligations may result in the suspension or withdrawal of an obtained approval and in civil and/or criminal penalties. Receipt of approval for narrower indications than sought, restrictions on marketing through a REMS or similar strategy imposed in an EU member state or other foreign country, or significant labeling restrictions or requirements in an approved label such as a boxed warning, could have a negative impact on our ability to recoup our R&amp;D costs and to successfully commercialize that product, any of which could materially and adversely affect our business, financial condition, results of operations and growth prospects. In any event, if we are unable to comply with our post-marketing obligations imposed as part of the marketing approvals in the United States, the EU, or other countries, our approval may be varied, suspended or revoked, product supply may be delayed and our sales of our products could be materially adversely affected.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manufacturers of drug substance and drug products and their facilities are subject to continual review and periodic inspections by the FDA and comparable foreign health authorities for compliance with current Good Manufacturing Practices, or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or the manufacturing facilities for our product candidates fail to comply with applicable regulatory requirements, or if our product candidates are found to cause undesirable or unacceptable side effects, a regulatory agency may: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issue safety alerts, Dear Healthcare Provider letters, press releases or other communications containing warnings about such product;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mandate modifications to promotional materials or require us to provide corrective information to healthcare practitioners;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require that we conduct and complete post-marketing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seek an injunction or impose civil or criminal penalties or monetary fines;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suspend marketing of, withdraw regulatory approval of or initiate a recall of such product;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suspend any ongoing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refuse to approve pending applications or supplements to applications filed by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suspend or impose restrictions on operations, including costly new manufacturing requirements; or</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seize or detain products or refuse to permit the import or export of products.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The occurrence of any event or penalty described above may inhibit our ability to commercialize our products and generate revenue.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public prosecutors, industry associations, healthcare professionals and other members of the public will heavily scrutinize advertising and promotion of any product candidate outside of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the EU, the advertising and promotion of medicinal products are subject to both EU and EU member state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Failure to comply with EU, EU member state, and other country laws that apply to the conduct of clinical trials, manufacturing approval, marketing authorization of medicinal products and marketing of such products, both before and after grant of a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manufacturing or clinical trials, operating restrictions, injunctions, suspension of licenses, fines and criminal penalties. In addition, legislation adopted at the EU level may be implemented differently by individual member states. These regulations, and their differing implementations in member states, increase our legal and financial compliance costs and may make some activities more time-consuming and expensive.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Even if we are able to obtain regulatory approvals for any of our product candidates, if they exhibit harmful side effects after approval, our regulatory approvals could be revoked or otherwise negatively impacted.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Additionally, we may be required to conduct additional clinical trials, make changes in labeling of our product, reformulate our product or make changes and obtain new approvals for our and our suppliers’ manufacturing facilities for our product candidates. Equivalent obligations could be imposed by the foreign health authorities.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success depends in significant part upon our ability to obtain and maintain intellectual property protection for our products and technologies.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success depends in significant part on our ability and the ability of our current or future licensors, licensees, partners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partners or collaborators may not be able to prepare, file and prosecute all necessary or desirable patent applications at a reasonable cost or in a timely manner. It is also possible that we or our current or future licensors, licensees, partners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partners' or collaborators’ may not result in patents being issued that protect our technology or product candidates, or products resulting therefrom, in whole or in part, or that effectively prevent others from commercializing competitive technologies and products.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Similar to other biotechnology companies, our patent position is generally highly uncertain and involves complex legal and factual questions. In this regard, we cannot be certain that we or our current or future licensors, licensees, partners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partners or collaborators to obtain new patents or to enforce existing patents and patents we may obtain in the future. In any event, the issuance, scope, validity, enforceability and commercial value of our patent rights and those of our current or future licensors, licensees, partners or collaborators are highly uncertain and may not effectively prevent others from commercializing competitive technologies and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partners or collaborators to perform these activities, which means that these patent applications may not be prosecuted, and these patents may not be enforced, in a manner consistent with the best interests of our business. If our current or future licensors, licensees, partners or collaborators fail to establish, maintain, protect or enforce such patents and other intellectual property rights, such rights may be reduced or eliminated. If our current or future licensors, licensees, partners or collaborators are not fully cooperative or disagree with us as to the prosecution, maintenance or enforcement of any patent rights, such patent rights could be compromised.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partners or collaborators, to enforce intellectual property rights around the world may be inadequate to obtain a significant commercial advantage from the intellectual property that we own or license.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currently own or have a license to any issued patents that cover our NGM707, NGM831 and NGM438 product candidates, although these product candidates are disclosed and claimed in our pending U.S. non-provisional and international applications. We own one issued United States patent that covers our NGM621 product candidate, although the product and related compositions-of-matter and methods of use are disclosed and claimed in other pending U.S. non-provisional and/or national stage applications in particular foreign countries. The patent landscape surrounding all of our product candidates is crowded, and there can be no assurance that we will be able to secure patent protection that would adequately cover such product candidates, that we will obtain sufficiently broad claims to be able to prevent others from selling competing products or that we will be able to protect and maintain any patent protection that we initially secure.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any of our product candidates.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be unable to obtain intellectual property rights or technologies necessary to develop and commercialize our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Several third parties are actively researching and seeking and obtaining patent protection in the fields of cancer, retinal diseases,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could lose the ability to continue the development and commercialization of our products or product candidates if we breach any license agreement related to those products or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commercial success depends upon our ability, and the ability of our current and future licensors, licensees, partners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become involved in lawsuits or other proceedings to protect or enforce our intellectual property, which could be expensive, time-consuming and unsuccessful and have a material adverse effect on the success of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 parties may infringe patents or misappropriate or otherwise violate intellectual property rights owned or controlled by us or our current or future licensors, licensees, partners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partners or collaborators. Litigation could result in substantial costs and diversion of management resources, which could harm our business and financial results.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our current or future licensors, licensees, partners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partners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Third parties may initiate legal proceedings against us or our current or future licensors, licensees, partners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partners or collaborators. These proceedings can be expensive and time-consuming, and many of our adversaries may have the ability to dedicate substantially greater resources to prosecuting these legal actions than us. Accordingly, despite our efforts, we or our current or future licensors, licensees, partners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Third-party pre-issuance submission of prior art to the USPTO, opposition, derivation, revocation, reexamination,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partners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partners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pStyle w:val="TextBody"/>
        <w:bidi w:val="0"/>
        <w:spacing w:lineRule="auto" w:line="288" w:before="120" w:after="120"/>
        <w:ind w:left="0" w:right="0" w:firstLine="720"/>
        <w:jc w:val="both"/>
        <w:rPr/>
      </w:pPr>
      <w:r>
        <w:rPr>
          <w:rFonts w:ascii="Arial;sans-serif" w:hAnsi="Arial;sans-serif"/>
          <w:b w:val="false"/>
          <w:color w:val="000000"/>
          <w:sz w:val="20"/>
        </w:rPr>
        <w:t xml:space="preserve">Third parties may initiate legal proceedings against us or our current or future licensors, licensees, partners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w:t>
      </w:r>
      <w:r>
        <w:rPr>
          <w:rFonts w:ascii="Arial;sans-serif" w:hAnsi="Arial;sans-serif"/>
          <w:b w:val="false"/>
          <w:i/>
          <w:color w:val="000000"/>
          <w:sz w:val="20"/>
        </w:rPr>
        <w:t>inter partes</w:t>
      </w:r>
      <w:r>
        <w:rPr>
          <w:color w:val="000000"/>
        </w:rPr>
        <w:t xml:space="preserve"> </w:t>
      </w:r>
      <w:r>
        <w:rPr>
          <w:rFonts w:ascii="Arial;sans-serif" w:hAnsi="Arial;sans-serif"/>
          <w:b w:val="false"/>
          <w:color w:val="000000"/>
          <w:sz w:val="20"/>
        </w:rPr>
        <w:t>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and time-consuming, and many of our adversaries may have the ability to dedicate substantially greater resources to prosecuting these legal actions than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partners or collaborators may be subject to claims that former employees, partners, collaborators or other third parties have an interest in our owned or in-licensed patents, trade secrets or other intellectual property as an inventor or co-inventor. Litigation may be necessary to defend against these claims.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third-party patent. This is a high burden, requiring us to present clear and convincing evidence as to the invalidity of any such U.S. patent claim.</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 unfavorable outcome in any such proceeding could require us and our current or future licensors, licensees, partners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may not be able to protect our intellectual property rights throughout the world.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Competitors may use our technologies in jurisdictions where we have not obtained patent protection to develop their own competing products and, further, may export otherwise infringing products to territories where we have patent protection, but enforcement is not as strong as that in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Many countries have compulsory licensing laws under which a patent owner may be compelled to grant licenses to third parties. In addition, many countries limit the enforceability of patents against government agencies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Europe, expected by the end of 2023, European applications will soon have the option, upon grant of a patent, of becoming a Unitary Patent which will be subject to the jurisdiction of the Unitary Patent Court, or the UPC. This will be a significant change in European patent practice. As the UPC is a new court system, there is no precedent for the court, increasing the uncertainty of any litigation. It is our initial belief that the UPC, while offering a cheaper streamlined process, has potential disadvantages to patent holders, such as making a single European patent vulnerable in all jurisdictions when challenged in a single jurisdiction.</w:t>
      </w:r>
    </w:p>
    <w:p>
      <w:pPr>
        <w:pStyle w:val="TextBody"/>
        <w:bidi w:val="0"/>
        <w:spacing w:lineRule="auto" w:line="288" w:before="240" w:after="120"/>
        <w:ind w:left="0" w:right="0" w:firstLine="720"/>
        <w:jc w:val="center"/>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 xml:space="preserve">The market price of our common stock has been and may continue to be volatile, and you could lose all or part of your investment.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market price for our common stock has fluctuated significantly from time to time, for example, varying between a high of $32.12 on March 17, 2021 and a low of $2.12 on August 2, 2023.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interim or final results of clinical trials of our product candidates or those of our competitors;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our ability to raise adequate capital through public or private equity or debt offerings or negotiate potential BD Arrangements in a timely manner or at all;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success of competitive products or technologies;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actions with respect to our product candidates or our competitors’ product candidates or products;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timeline delays in our clinical trials;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level of expenses related to any of our product candidates or clinical development programs;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actual or anticipated changes in our growth rate relative to our competitors;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announcements by us or our competitors or partners of significant acquisitions, strategic collaborations, joint ventures or capital commitments;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regulatory, legal or payor developments in the United States and other countries;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developments or disputes concerning patent applications, issued patents or other proprietary rights;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recruitment or departure of key personnel;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the results of our efforts to in-license or acquire additional product candidates or products;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actual or anticipated changes in estimates as to financial results, development timelines or recommendations by securities analysts;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variations in our financial results or those of companies that are perceived to be similar to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fluctuations in the valuation of companies perceived by investors to be comparable to us;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share price and volume fluctuations attributable to inconsistent trading volume levels of our shares;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announcement or expectation of additional financing efforts;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purchases or sales of our common stock by us, our insiders or our other stockholders;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changes in the structure of healthcare payment systems;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 xml:space="preserve">market conditions in the pharmaceutical and biotechnology sectors; and </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general economic, industry and market conditions.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conflict between Russia and Ukraine and recent and potential future bank failures, which has resulted in decreased stock prices for many companies notwithstanding the lack of a fundamental change in their underlying business models or prospects. Broad market and industry factors, including worsening economic conditions and other adverse effects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developments relating to the effects of the COVID-19 pandemic and recent and potential future bank failures, macroeconomic factors including inflation and rising interest rates, and geopolitical instability, including instability resulting from the conflict between Russia and Ukraine and the related sanctions imposed against Russia, may negatively affect the market price of our common stock, regardless of our actual operating performance. The realization of any of the above risks or any of a broad range of other risks, including those described elsewhere in this “Risk Factors” section, could have a dramatic and material adverse impact on the market price of our common stock.</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Because of volatility in our trading price and trading volume, we may incur significant costs from class action securities litigation.</w:t>
      </w:r>
    </w:p>
    <w:p>
      <w:pPr>
        <w:pStyle w:val="TextBody"/>
        <w:bidi w:val="0"/>
        <w:spacing w:lineRule="auto" w:line="288" w:before="120" w:after="120"/>
        <w:ind w:left="0" w:right="0" w:firstLine="720"/>
        <w:jc w:val="both"/>
        <w:rPr/>
      </w:pPr>
      <w:r>
        <w:rPr>
          <w:rFonts w:ascii="Arial;sans-serif" w:hAnsi="Arial;sans-serif"/>
          <w:b w:val="false"/>
          <w:color w:val="000000"/>
          <w:sz w:val="20"/>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to the risk factor titled “</w:t>
      </w:r>
      <w:r>
        <w:rPr>
          <w:rFonts w:ascii="Arial;sans-serif" w:hAnsi="Arial;sans-serif"/>
          <w:b w:val="false"/>
          <w:i/>
          <w:color w:val="000000"/>
          <w:sz w:val="20"/>
        </w:rPr>
        <w:t>An active trading market for our common stock may not be sustained and sales of a substantial number of shares of our common stock in the public market could cause our stock price to fall.</w:t>
      </w:r>
      <w:r>
        <w:rPr>
          <w:color w:val="000000"/>
        </w:rPr>
        <w:t>”</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principal stockholders, including entities affiliated with The Column Group, Merck and management, own a substantial percentage of our stock and collectively will be able to exert significant control over matters subject to stockholder approval.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executive officers, directors, significant stockholders, including entities affiliated with The Column Group and Merck, and their respective affiliates, beneficially own a substantial amount of our voting stock. These stockholders collectively may be able to determine all matters requiring stockholder approval. For example, these stockholders collectively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our common stock, our stock price could fall.</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An active trading market for our common stock may not be sustained and sales of a substantial number of shares of our common stock in the public market could cause our stock price to fall.</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For the trading days during the three months ended June 30, 2023, the average daily trading volume for our common stock on The Nasdaq Global Select Market was only 319,505 shares. As a result, sales of a substantial number of shares of our common stock in the public market, including pursuant to the Sales Agreement, the Amended Sales Agreement upon the effectiveness and the New Registration Statement,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do not intend to pay dividends on our common stock so any returns will be limited to the value of our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authorizing the issuance of “blank check” preferred stock, the terms of which we may establish and shares of which we may issue without stockholder approval;</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prohibiting cumulative voting in the election of directors, which would otherwise allow for less than a majority of stockholders to elect director candidates;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prohibiting stockholder action by written consent, thereby requiring all stockholder actions to be taken at a meeting of our stockholders;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eliminating the ability of stockholders to call a special meeting of stockholders;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20"/>
        </w:rPr>
        <w:t>establishing advance notice requirements for nominations for election to the board of directors or for proposing matters that can be acted upon at stockholder meetings.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which may discourage, delay or prevent someone from acquiring us or merging with us whether or not it is desired by or beneficial to our stockholders. In addition, Section 203 of the Delaware General Corporation Law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Certain provisions in our agreement with Merck may also deter a change of control. For example, under the Amended Collaboration Agreement,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 if any.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owed by any director, officer or other employee to us or our stockholders; any action asserting a claim against us or any director or officer or other employee arising pursuant to the Delaware General Corporation Law, our amended and restated certificate of incorporation or our amended and restated bylaws; any action with respect to the validity of our amended and restated certificate of incorporation or amended and restated bylaws; any action as to which the Delaware General Corporation Law confers jurisdiction to the Court of Chancery of the State of Delaware; or any action asserting a claim against us or any director or officer or other employee that is governed by the internal affairs doctrine. This provision would not apply to suits brought to enforce a duty or liability created by the Securities and Exchange Act of 1934, as amended, or the Exchange Act, or any other claim for which the federal courts have exclusive jurisdiction. Furthermore, Section 22 of the Securities Act of 1933, as amended,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9"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our CROs, our CMOs, our current and potential future partners and other third parties we rely on or partner with could experience a cybersecurity incident that could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collect, store and transmit proprietary, confidential and sensitive information, including personal information (such as health-related data), in the course of our business. Our technology systems and the information and data processed and stored in our technology systems or otherwise by us or on our behalf, and the technology systems of, and data accessed on our behalf by, our research collaborators, partners, CROs, CMOs, contractors, consultants and other third parties on which we depend to operate our business, may be vulnerable to security breaches, loss, damage, corruption, unauthorized access, use or disclosure or misappropriation. Such incidents may result from the actions of a wide variety of actors, including traditional hackers, our personnel or the personnel of the third parties we work with, sophisticated nation-states and nation-state-supported actors.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Threats we and third parties on which we rely may face are constantly evolving and include (without limitation) malware, viruses, software vulnerabilities and bugs, software or hardware failure, hacking, denial of service attacks, social engineering (including phishing), ransomware, inside threats, credential stuffing or other cyberattacks, telecommunications failures, earthquakes, fires, floods and similar threats. Threats such as ransomware attacks, for example, are becoming increasingly prevalent and severe. Extortion payments may alleviate the negative impact of a ransomware attack, but we may be unwilling or unable to make such payments due to, for example, applicable laws or regulations prohibiting such payments. Supply-chain attacks have also increased in frequency and severity, and we cannot guarantee that third parties’ infrastructure in our supply chain or our third-party partners’ supply chains have not been compromised. Our ability to monitor third parties on whom we rely to operate our business is limited, and these third parties may be subject to, and may expose us to, cyberattacks and other security incidents.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may, under certain data privacy and security obligations, be required to, or we may choose to, expend significant resources or modify our business activities (including our clinical trial activities) in an effort designed to protect against security incidents. While we have developed systems and processes designed to protect the integrity, confidentiality and security of the confidential and personal information under our control, we cannot assure you that any security measures that we or our third-party service providers implement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Some of our workforce work remotely on a full- or part-time basis outside of our corporate network security protection boundaries or otherwise utilize network connections, computers and devices outside of our premises or network, which imposes additional risks to our business, including increased risk of industrial espionage, phishing and other cybersecurity attacks, and unauthorized dissemination of proprietary or confidential information, including personal information, any of which could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70"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Despite our efforts to strengthen security and authentication measures, we have not always been able in the past, and may be unable in the future, to detect vulnerabilities in our information technology systems. We have experienced an overall increase in cybersecurity incidents since 2020, none of which, to date, have caused material disruption to our business, or to our knowledge, involved a material security breach. For example, in December 2020, we detected that an attacker had gained access to a single system on our network and unsuccessfully attempted to use that access to stage a broader attack against us. We or the third parties we rely on or partner with could experience a material system failure, security breach or other cybersecurity incident, including any related to or in connection with any of the aforementioned threats,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or partner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interruptions in our operations (including availability of data), financial loss and other liabilities and harms. Additionally, such incidents may trigger data privacy and security obligations requiring us to notify relevant stakeholders. These disclosures are costly, and the disclosures or the failure to comply with such requirements could lead to adverse consequences.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The withdrawal of the United Kingdom from the EU, commonly referred to as Brexit, could increase our cost of doing business, reduce our gross margins or otherwise negatively impact our business and our financial results.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United Kingdom’s, or UK, withdrawal from the EU on January 31, 2020, commonly referred to as Brexit, has created significant uncertainty concerning the future relationship between the UK and the EU. The Medicines and Healthcare products Regulatory Agency, or MHRA, is now the UK’s standalone regulator.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December 24, 2020, the EU and UK reached an agreement in principle on the framework for their future relationship, the EU-U.K. Trade and Cooperation Agreement, or the TCA. The TCA primarily focuses on ensuring free trade between the EU and the UK in relation to goods, including medicinal products. Although the body of the TCA includes general terms which apply to medicinal products, greater detail on sector-specific issues is provided in an Annex to the TCA.</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Among the changes that are now applied are that Great Britain (England, Scotland and Wales) are treated as a third country. Northern Ireland, with regard to EU regulations, continues to follow many aspects of EU regulatory rules. As part of the TCA, the EU and the UK recognize GMP inspections carried out by the other party and accept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eventual adoption of the Retained EU Law (Revocation and Reform) Bill that is currently going through the UK adoption procedure may, however, result in substantial change to the extent to which EU laws influence these and other actions in the UK.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After running a public consultation which ended in December 2022, the UK government unilaterally agreed to permanently accept EU batch testing and batch release. However, it is not certain whether the UK will continue this approach, particularly following adoption of the current Retained EU Law (Revocation and Reform) Bill. If the UK were to adopt an approach whereby re-testing and/or re-release in the UK would be required, this could result in increased costs. Furthermore, the EU continues to apply EU laws that require batch testing and batch release to take place in the EU territory. This means that medicinal products that are tested and released in the UK must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71"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retested and re-released when entering the EU market for commercial use. As regards marketing authorizations, Great Britain has a separate regulatory submission process, approval process and a national marketing authorization. Northern Ireland, however, continues to be covered by the marketing authorizations granted by the European Commission.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 UK regulatory framework in relation to clinical trials is derived from existing EU legislation (as implemented into UK law, through secondary legislation) and, as such, it falls within the scope of the Retained EU Law (Revocation and Reform) Bill as currently drafted. Adoption of the Retained EU Law (Revocation and Reform) Bill as currently drafted would result in the regulatory framework governing clinical trials in the UK being revoked unless Ministerial action were taken to retain or replace it. It is currently unclear to what extent the UK will seek to align its regulations with the EU following entry into application of the Clinical Trials Regulation in the EU which occurred on January 31, 2022.</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January 1, 2021, an applicant for a marketing authorization granted by the European Commission in accordance with the centralized procedure based on the opinion of the Committee for Medicinal Products for Human Use, or CHMP, of the EMA can no longer be established in the UK. Since this date, companies established in the UK cannot use the centralized procedure and instead must follow one of the UK national authorization procedures to obtain a marketing authorization to market products in the UK. For an initial two-year period from January 1, 2021, MHRA could rely on a decision taken by the European Commission on the approval of a new centralized procedure marketing authorization when determining an application for a Great Britain marketing authorization, or use the MHRA’s decentralized or mutual recognition procedures which enable marketing authorizations approved in EEA countries to be granted in Great Britain.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 In September 2022, the MHRA extended the procedure whereby it may rely on a decision taken by the European Commission when determining an application for a Great Britain marketing authorization until December 31, 2023.</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Orphan designation in Great Britain following Brexit is, unlike in the EU, not a pre-marketing authorization. Applications for orphan designation are made at the same time as an application for a marketing authorization. The criteria to be granted an orphan drug designation are essentially identical to those in the EU but based on the prevalence of the condition in Great Britain. It is therefore possible that medical conditions that were or would have been designated as orphan conditions in Great Britain prior to the end of the Transition Period are or would no longer be and that conditions that were not or would not have been designated as orphan conditions in the EU will be designated as such in Great Britain.</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Since a significant part of the regulatory framework in the UK applicable to our business and our product candidates is derived from EU legislation, Brexit has the potential of materially impacting the regulatory framework with respect to the development, manufacture, approval, import and placement of our product candidates on the market in the UK and the EU. The changes effected by the TCA, as well as any future changes in the regulatory framework governing medicinal products, including the adoption of the Retain EU Law (Revocation and Reform) Bill, could increase the costs and complexity of doing business in or with the UK, which could adversely affect our business.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are subject to rapidly changing and increasingly stringent foreign and domestic laws and regulations relating to privacy, data protection and information security. The restrictions imposed by these requirements or our actual or perceived failure to comply with them could harm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collect, use, transfer or otherwise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by us and on our behalf. 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information. For example, the EU GDPR, UK GDPR and other relevant laws that govern patient confidentiality and storage of personal health data may apply to our processing of personal information from clinical trials participants and other individuals located in the European Economic Area, or EEA, and/or the UK and, if any of our product candidates are approved, we may seek to commercialize those products in the EEA and/or the UK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72"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applicable). Companies that violate the EU GDPR can face private litigation, prohibitions on data processing, other administrative measures, reputational damage and fines of up to the greater of 20 million Euros or 4% of their worldwide annual revenue. The EU GDPR requires us to, among other things: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UK has incorporated an amended version of the EU GDPR into UK law, commonly referred to as the UK GDPR, which is independent from, but at present materially aligned with, the EU GDPR, which together with the UK Data Protection Act of 2018, or UK DPA, covers the processing of personal information of UK residents. Non-compliance with UK GDPR may result in substantially similar adverse consequences to those in relation to the EU GDPR, including monetary penalties of up to £17.5 million or 4% of worldwide revenue, whichever is higher.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July 10, 2023, the European Commission adopted an adequacy decision for the new EU-US Data Privacy Framework, which facilitates international transfers of personal data between the EU and the US for companies that choose to self-certify with the framework and comply with its principles. However, the EU-US Data Privacy Framework is expected to be subject to legal challenges and could be withdrawn if, for example, it is deemed not to provide an adequate level of protection to EU individuals.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It is unclear how data transfers to and from the US and the EU will be regulated in the long term, which measures must be put in place for onward transfers to and from the US and the EU, and whether or not the EU-US Data Privacy Framework will provide a long-term solution to managing flows of personal data between the EU and the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On June 28, 2021, the European Commission adopted an adequacy decision permitting flows of personal data between the EU and the UK to continue without additional requirements. The UK Government also adopted a reciprocal adequacy decision in respect of EEA member states permitting flows of personal data from the UK to the EEA. However, the European Commission's UK adequacy decision will automatically expire in June 2025 unless the European Commission re-assesses and renews/extends that decision and remains under review by the European Commission during this period. The UK adequacy decision could be withdrawn prior to June 2025, for example, if the legal framework of the UK GDPR diverges from the EU GDPR in a way that impacts the deemed adequacy of the UK GDPR, if the UK permits cross-border data transfers to third countries that do not currently have an EU adequacy decision without requiring sufficient privacy protections, or if the UK adequacy decision is successfully challenged at the European Court of Justice. If the UK adequacy decision were to be withdrawn, personal data could not flow freely between the UK and the EU and additional safeguards would need to be adopted, which could result in additional costs for us.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relationship between the UK and the EU in relation to certain aspects of data protection laws remains unclear, and it is unclear how UK data protection laws and regulations will develop in the medium to longer term, and how data transfers to and from the UK will be regulated in the long term. The UK’s Data Protection and Digital Information Bill, or the Bill, was re-introduced before the UK Parliament in March 2023, introducing reforms intended to update and simplify the UK’s data protection framework, deviating from the EU GDPR. In addition, the relationship between the UK and the US in relation to certain aspects of data protection laws remains subject to considerable uncertainty. The UK and the US have committed in principle to establish a data bridge for the UK extension to the EU-US Data Privacy Framework, however the planned data bridge remains subject to assessment and finalization between the US and the UK.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Certain jurisdictions have enacted data localization laws and laws restricting cross-border transfers of personal information. In particular, regulators and courts in the EEA and the UK have in the past significantly restricted the transfer of personal information to the United States and other countries whose privacy laws it believes are inadequate, and current efforts to utilize the EU-US Data Privacy Framework to facilitate flows of personal data between these jurisdictions remain subject to legal challenge and uncertainty. Other jurisdictions may adopt similarly stringent interpretations of their data localization and cross-border data transfer laws. Although there are currently various mechanisms that may be used to transfer personal information from the EEA and UK to the United States in compliance with law, including without limitation the EEA’s standard contractual clauses and the UK's international data transfer agreement, these mechanisms are subject to legal challenges, and there is no assurance that we can satisfy or rely on these measures to lawfully transfer personal information to the United States.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continue to monitor changes in data protection laws related to the cross-border transfer of personal information; however, uncertainty remains regarding any future regulations, interpretations of existing law or guidance that may be issued, particularly by the EU authorities. If we are unable to implement a valid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73"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solution for cross-border transfers of personal information, or if the requirements for a legally-compliant transfer are too onerous, we will face increased exposure to significant adverse consequences, including substantial fines, regulatory actions, as well as injunctions against the export and processing of personal information from the EEA.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that regulate cybersecurity and non-personal data, such as data collected through the internet of things. Depending on how these laws are interpreted, we may have to make changes to our business practices and products to comply with such obligations.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For example, the California Consumer Privacy Act of 2018, or CCPA, took effect on January 1, 2020. The CCPA gives California residents certain rights similar to the individual rights given under the EU GDPR, including the right to access and delete their personal information, opt-out of certain personal information sharing and receive detailed information about how their personal information is used. The CCPA provides for civil penalties for violations, including statutory fines for noncompliance and a limited private right of action in connection with certain data breaches. In addition, the California Privacy Rights Act of 2020, or CPRA, which became operative January 1, 2023, expands the CCPA’s requirements, including in that it applies to personal information of business representatives and employees and establishes a new regulatory agency to implement and enforce the law. While the CCPA contains an exemption for certain personal information processed in connection with clinical trials, we may process other personal information that is subject to the CCPA and CPRA. Other states, such as Virginia, Connecticut, Utah and Colorado, have also passed comprehensive privacy laws, and similar laws are being considered in several other states, as well as at the federal and local levels. The evolving patchwork of differing state and federal privacy and data security laws increases the cost and complexity of operating our business and increase our exposure to liability.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also be bound by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If we (or third parties on which we rely) fail, or are perceived to have failed, to address or comply with data privacy and security obligations, we could face significant consequences, including (without limitation): government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74"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operations are vulnerable to interruption by fire, earthquake, power loss, telecommunications failure, terrorist activity and other events beyond our control, which could harm our business.</w:t>
      </w:r>
    </w:p>
    <w:p>
      <w:pPr>
        <w:pStyle w:val="TextBody"/>
        <w:bidi w:val="0"/>
        <w:spacing w:lineRule="auto" w:line="288" w:before="120" w:after="120"/>
        <w:ind w:left="0" w:right="0" w:firstLine="720"/>
        <w:jc w:val="both"/>
        <w:rPr/>
      </w:pPr>
      <w:r>
        <w:rPr>
          <w:rFonts w:ascii="Arial;sans-serif" w:hAnsi="Arial;sans-serif"/>
          <w:b w:val="false"/>
          <w:color w:val="000000"/>
          <w:sz w:val="20"/>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some of our clinical drug substances is located in Lithuania, a region that has experienced political unrest. Refer to the risk factor titled “</w:t>
      </w:r>
      <w:r>
        <w:rPr>
          <w:rFonts w:ascii="Arial;sans-serif" w:hAnsi="Arial;sans-serif"/>
          <w:b w:val="false"/>
          <w:i/>
          <w:color w:val="000000"/>
          <w:sz w:val="20"/>
        </w:rPr>
        <w:t>We rely completely on CMOs for the manufacture of our product candidates and are subject to many manufacturing risks, any of which could substantially increase our costs and limit supply of our product candidates and any future products</w:t>
      </w:r>
      <w:r>
        <w:rPr>
          <w:rFonts w:ascii="Arial;sans-serif" w:hAnsi="Arial;sans-serif"/>
          <w:b w:val="false"/>
          <w:color w:val="000000"/>
          <w:sz w:val="20"/>
        </w:rPr>
        <w:t>.” If our operations or the operations of third parties providing services to us are disrupted by any such occurrences, our business and future prospects may be negatively affected.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use and generate materials that may expose us to material liability.</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ability to use net operating loss carryforwards and certain other tax attributes to offset taxable income could be limited.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plan to use our current year operating losses to offset taxable income from any revenue generated from operations, including BD Arrangements. To the extent that our taxable income exceeds any current year operating losses, we plan to use our net operating loss carryforwards to offset income that would otherwise be taxable. Our federal net operating loss carryforwards generated in tax years beginning before January 1, 2018 are only permitted to be carried forward for 20 years under applicable U.S. tax law. Under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 80% of taxable income. It is uncertain if and to what extent various states will conform to the 2017 Tax Act or the CARES Act.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under Sections 382 and 383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and certain other pre-change tax attributes (such as R&amp;D tax credits) to offset our post-change income may be limited. Due to our initial public offering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and certain other tax attributes could be limited. State net operating loss carryforwards may be similarly limited. In addition, at the state level, there may be periods during which the use of net operating losses is suspended or otherwise limited, which could accelerate or permanently increase state taxes owed.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New tax laws or regulations, changes to existing tax laws or regulations or changes in their application to us or our customers may have a material adverse effect on our business, cash flows, financial condition or results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New tax laws, statutes, rules, regulations, directives, decrees or ordinances could be enacted at any time. Further, existing tax laws, statutes, rules, regulations, directives, decrees or ordinances could be interpreted,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75"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changed or modified. Any such enactment, interpretation, change or modification could adversely affect us, possibly with retroactive effect. For example, the recently enacted IRA imposes, among other rules, a 15% minimum tax on the book income of certain large corporations and a 1% excise tax on certain corporate stock repurchases. In addition, for certain research and experimental expenses incurred in tax years beginning after December 31, 2021, the 2017 Tax Act requires the capitalization and amortization of such expenses over five years if incurred in the United States and fifteen years if incurred outside the United States, rather than deducting such expenses currently. Although there have been legislative proposals to repeal or defer the capitalization requirement, there can be no assurance that such requirement will be repealed, deferred or otherwise modified. Changes in corporate tax rates, the realization of net deferred tax assets relating to our operations, the taxation of foreign earnings and the deductibility of expenses under the 2017 Tax Act, as amended by the CARES Act or any future tax reform legislation could have a material impact on the value of our deferred tax assets, result in significant one-time charges and increase our future U.S. tax expense.</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Future changes in financial accounting standards or practices may cause adverse and unexpected revenue fluctuations and adversely affect our reported results of operations.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We continue to incur increased costs as a result of operating as a public company, and our management devotes substantial time to new compliance initiatives. In addition, we are obligated to develop and maintain proper and effective internal control over financial reporting. In the future, we may not complete our analysis of our internal control over financial reporting in a timely manner, or our internal control over financial reporting may not be determined to be effective, which may adversely affect investor confidence in our company and, as a result, the value of our common stock.</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As a public company, we incur significant legal, accounting, insurance and other expenses, and these expenses further increased in connection with our loss of “emerging growth company” status as of December 31, 2021.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404(a) of the Sarbanes-Oxley Act. Our compliance with Section 404(b) of the Sarbanes-Oxley Act requires that we incur substantial accounting expense and expend significant management efforts. We currently do not have an internal audit staff and outsource this function to a third party. We have hired and will need to retain our current accounting and financial staff who have the appropriate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76"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company experience and technical accounting knowledge. As a result of our public float on June 30, 2023, commencing on December 31, 2023 we will become a non-accelerated filer. For so long as we remain a non-accelerated filer, our independent registered public accounting firm will not be required to attest to the effectiveness of our internal control over financial reporting pursuant to Section 404(b) of the Sarbanes-Oxley Act. If we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Our ability to successfully implement our business plan and comply with Section 404(a)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the price for our common stock and could adversely affect our ability to access the capital markets.</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Our disclosure controls and procedures may not prevent or detect all errors or acts of fraud.</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These inherent limitations include the realities that judgments in decision-making can be faulty and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stock price and trading volume is heavily influenced by the way analysts and investors interpret our clinical trial results, any BD Arrangements we may enter into,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June 30, 2023, none of the Company's directors or Section 16 officers adopted or terminated any contract, instruction or written plan for the purchase or sale of NGM Bio securities that was intended to satisfy the affirmative defense conditions of Rule 10b5-1(c) under the Exchange Act or any “non-Rule 10b5-1 trading arrangement” as such term is defined in Item 408(a)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77"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ind w:left="0" w:right="0" w:firstLine="720"/>
        <w:jc w:val="both"/>
        <w:rPr>
          <w:rFonts w:ascii="Arial;sans-serif" w:hAnsi="Arial;sans-serif"/>
          <w:b w:val="false"/>
          <w:color w:val="000000"/>
          <w:sz w:val="20"/>
        </w:rPr>
      </w:pPr>
      <w:r>
        <w:rPr>
          <w:rFonts w:ascii="Arial;sans-serif" w:hAnsi="Arial;sans-serif"/>
          <w:b w:val="false"/>
          <w:color w:val="000000"/>
          <w:sz w:val="20"/>
        </w:rPr>
        <w:t>On July 28, 2023, Siobhan Nolan Mangini, the President, Chief Financial Officer and principal accounting officer of the Company, notified the Company of her intent to resign. Ms. Nolan Mangini’s planned departure is not a result of any disagreement regarding the Company’s financial statements or disclosures. The effective date of Ms. Nolan Mangini’s resignation as the Company’s principal accounting officer will be September 15, 2023 and her resignation as the Company’s President and Chief Financial Officer will be December 1, 2023, or such earlier date as determined by the Company or Ms. Nolan Mangini, referred to as the Separation Date. Ms. Nolan Mangini will continue to provide services to the Company in her current capacities through September 15, 2023 and in her capacities of President and Chief Financial Officer through the Separation Date to provide for the orderly transition of her duties through the Separation Date. If mutually agreed, the Company may retain Ms. Nolan Mangini for additional transition services after December 1, 2023. The Company has initiated a search process to identify a new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8"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4"/>
        <w:gridCol w:w="275"/>
        <w:gridCol w:w="277"/>
        <w:gridCol w:w="109"/>
        <w:gridCol w:w="109"/>
        <w:gridCol w:w="109"/>
        <w:gridCol w:w="2029"/>
        <w:gridCol w:w="1784"/>
        <w:gridCol w:w="1790"/>
        <w:gridCol w:w="325"/>
        <w:gridCol w:w="325"/>
        <w:gridCol w:w="326"/>
        <w:gridCol w:w="314"/>
        <w:gridCol w:w="314"/>
        <w:gridCol w:w="315"/>
        <w:gridCol w:w="255"/>
        <w:gridCol w:w="255"/>
        <w:gridCol w:w="256"/>
        <w:gridCol w:w="215"/>
        <w:gridCol w:w="215"/>
        <w:gridCol w:w="294"/>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Schedule</w:t>
              <w:br/>
              <w:t>Form</w:t>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 Number</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Filing</w:t>
              <w:br/>
              <w:t>Date</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Amended and Restated Certificate of Incorporation</w:t>
              </w:r>
            </w:hyperlink>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001-38853</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4/8/19</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Bylaws</w:t>
              </w:r>
            </w:hyperlink>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S-1</w:t>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333-227608</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9/28/18</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0630x10qex311.htm">
              <w:r>
                <w:rPr>
                  <w:rStyle w:val="InternetLink"/>
                  <w:rFonts w:ascii="Arial;sans-serif" w:hAnsi="Arial;sans-serif"/>
                  <w:b w:val="false"/>
                  <w:color w:val="0000FF"/>
                  <w:sz w:val="20"/>
                  <w:u w:val="single"/>
                </w:rPr>
                <w:t>Certification of Chief Executive Officer Pursuant to Rules 13a-14(a) and 15d-14(a) under the Securities Exchange Act of 1934, as Adopted Pursuant to Section 302 of the Sarbanes-Oxley Act of 2002</w:t>
              </w:r>
            </w:hyperlink>
            <w:r>
              <w:rPr>
                <w:rFonts w:ascii="Arial;sans-serif" w:hAnsi="Arial;sans-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0630x10qex312.htm">
              <w:r>
                <w:rPr>
                  <w:rStyle w:val="InternetLink"/>
                  <w:rFonts w:ascii="Arial;sans-serif" w:hAnsi="Arial;sans-serif"/>
                  <w:b w:val="false"/>
                  <w:color w:val="0000FF"/>
                  <w:sz w:val="20"/>
                  <w:u w:val="single"/>
                </w:rPr>
                <w:t>Certification of Chief Financial Officer Pursuant to Rules 13a-14(a) and 15d-14(a) under the Securities Exchange Act of 1934, as Adopted Pursuant to Section 302 of the Sarbanes-Oxley Act of 2002</w:t>
              </w:r>
            </w:hyperlink>
            <w:r>
              <w:rPr>
                <w:rFonts w:ascii="Arial;sans-serif" w:hAnsi="Arial;sans-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gm-20230630x10qex321.htm">
              <w:r>
                <w:rPr>
                  <w:rStyle w:val="InternetLink"/>
                  <w:rFonts w:ascii="Arial;sans-serif" w:hAnsi="Arial;sans-serif"/>
                  <w:b w:val="false"/>
                  <w:color w:val="0000FF"/>
                  <w:sz w:val="20"/>
                  <w:u w:val="single"/>
                </w:rPr>
                <w:t>Certification of Chief Executive Officer and Chief Financial Officer Pursuant to 18 U.S.C. Section 1350, as Adopted Pursuant to Section 906 of the Sarbanes-Oxley Act of 2002</w:t>
              </w:r>
            </w:hyperlink>
            <w:r>
              <w:rPr>
                <w:rFonts w:ascii="Arial;sans-serif" w:hAnsi="Arial;sans-serif"/>
                <w:b w:val="false"/>
                <w:color w:val="000000"/>
                <w:sz w:val="20"/>
              </w:rPr>
              <w: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both"/>
        <w:rPr>
          <w:rFonts w:ascii="Arial;sans-serif" w:hAnsi="Arial;sans-serif"/>
          <w:b w:val="false"/>
          <w:color w:val="000000"/>
          <w:sz w:val="20"/>
        </w:rPr>
      </w:pPr>
      <w:r>
        <w:rPr>
          <w:rFonts w:ascii="Arial;sans-serif" w:hAnsi="Arial;sans-serif"/>
          <w:b w:val="false"/>
          <w:color w:val="000000"/>
          <w:sz w:val="20"/>
        </w:rPr>
        <w:t>+    Filed or furnished herewith.</w:t>
      </w:r>
    </w:p>
    <w:p>
      <w:pPr>
        <w:pStyle w:val="TextBody"/>
        <w:bidi w:val="0"/>
        <w:spacing w:lineRule="auto" w:line="288" w:before="120" w:after="120"/>
        <w:ind w:left="0" w:right="0" w:hanging="720"/>
        <w:jc w:val="both"/>
        <w:rPr>
          <w:rFonts w:ascii="Arial;sans-serif" w:hAnsi="Arial;sans-serif"/>
          <w:b w:val="false"/>
          <w:color w:val="000000"/>
          <w:sz w:val="20"/>
        </w:rPr>
      </w:pPr>
      <w:r>
        <w:rPr>
          <w:rFonts w:ascii="Arial;sans-serif" w:hAnsi="Arial;sans-serif"/>
          <w:b w:val="false"/>
          <w:color w:val="000000"/>
          <w:sz w:val="20"/>
        </w:rPr>
        <w:t>*    The certifications attached as Exhibit 32.1 accompany this Quarterly Report on Form 10-Q are not deemed filed with the SEC and are not to be incorporated by reference into any filing of NGM Biopharmaceuticals,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before="120" w:after="120"/>
        <w:ind w:left="0" w:right="0" w:hanging="360"/>
        <w:jc w:val="both"/>
        <w:rPr/>
      </w:pPr>
      <w:r>
        <w:rPr/>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12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00" w:after="120"/>
        <w:jc w:val="both"/>
        <w:rPr/>
      </w:pPr>
      <w:r>
        <w:rPr/>
      </w:r>
    </w:p>
    <w:p>
      <w:pPr>
        <w:pStyle w:val="TextBody"/>
        <w:bidi w:val="0"/>
        <w:spacing w:before="100" w:after="120"/>
        <w:jc w:val="both"/>
        <w:rPr/>
      </w:pPr>
      <w:r>
        <w:rPr/>
      </w:r>
    </w:p>
    <w:tbl>
      <w:tblPr>
        <w:tblW w:w="5939" w:type="dxa"/>
        <w:jc w:val="left"/>
        <w:tblInd w:w="0" w:type="dxa"/>
        <w:tblLayout w:type="fixed"/>
        <w:tblCellMar>
          <w:top w:w="28" w:type="dxa"/>
          <w:left w:w="28" w:type="dxa"/>
          <w:bottom w:w="28" w:type="dxa"/>
          <w:right w:w="28" w:type="dxa"/>
        </w:tblCellMar>
      </w:tblPr>
      <w:tblGrid>
        <w:gridCol w:w="711"/>
        <w:gridCol w:w="624"/>
        <w:gridCol w:w="630"/>
        <w:gridCol w:w="134"/>
        <w:gridCol w:w="134"/>
        <w:gridCol w:w="136"/>
        <w:gridCol w:w="1045"/>
        <w:gridCol w:w="1045"/>
        <w:gridCol w:w="1480"/>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NGM Biopharmaceuticals,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3,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Chief Executive Officer and 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3,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Siobhan Nolan Mangini</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President and 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80"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 xml:space="preserve">CERTIFICATION BY THE CHIEF EXECUTIVE OFFICER PURSUANT TO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SECTION 302 OF THE SARBANES-OXLEY ACT OF 2002 </w: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David J. Woodhouse, certify that:</w:t>
      </w:r>
    </w:p>
    <w:p>
      <w:pPr>
        <w:pStyle w:val="TextBody"/>
        <w:bidi w:val="0"/>
        <w:spacing w:lineRule="auto" w:line="288" w:before="240" w:after="120"/>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NGM Biopharmaceuticals, Inc.;</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w:t>
      </w:r>
      <w:r>
        <w:rPr>
          <w:color w:val="000000"/>
        </w:rPr>
        <w:t xml:space="preserve"> </w:t>
      </w:r>
      <w:r>
        <w:rPr>
          <w:rFonts w:ascii="Arial;sans-serif" w:hAnsi="Arial;sans-serif"/>
          <w:b w:val="false"/>
          <w:color w:val="000000"/>
          <w:sz w:val="20"/>
        </w:rPr>
        <w:t>for the registrant and have:</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both"/>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r>
        <w:rPr>
          <w:rFonts w:ascii="Arial;sans-serif" w:hAnsi="Arial;sans-serif"/>
          <w:b w:val="false"/>
          <w:color w:val="000000"/>
          <w:sz w:val="18"/>
        </w:rPr>
        <w:t>.</w:t>
      </w:r>
    </w:p>
    <w:tbl>
      <w:tblPr>
        <w:tblW w:w="5654" w:type="dxa"/>
        <w:jc w:val="center"/>
        <w:tblInd w:w="0" w:type="dxa"/>
        <w:tblLayout w:type="fixed"/>
        <w:tblCellMar>
          <w:top w:w="28" w:type="dxa"/>
          <w:left w:w="28" w:type="dxa"/>
          <w:bottom w:w="28" w:type="dxa"/>
          <w:right w:w="28" w:type="dxa"/>
        </w:tblCellMar>
      </w:tblPr>
      <w:tblGrid>
        <w:gridCol w:w="711"/>
        <w:gridCol w:w="624"/>
        <w:gridCol w:w="630"/>
        <w:gridCol w:w="134"/>
        <w:gridCol w:w="134"/>
        <w:gridCol w:w="136"/>
        <w:gridCol w:w="962"/>
        <w:gridCol w:w="962"/>
        <w:gridCol w:w="136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3,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 xml:space="preserve">CERTIFICATION BY THE CHIEF FINANCIAL OFFICER PURSUANT TO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SECTION 302 OF THE SARBANES-OXLEY ACT OF 2002 </w: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Siobhan Nolan Mangini, certify that: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NGM Biopharmaceuticals, Inc.;</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both"/>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r>
        <w:rPr>
          <w:rFonts w:ascii="Arial;sans-serif" w:hAnsi="Arial;sans-serif"/>
          <w:b w:val="false"/>
          <w:color w:val="000000"/>
          <w:sz w:val="18"/>
        </w:rPr>
        <w:t>.</w:t>
      </w:r>
    </w:p>
    <w:tbl>
      <w:tblPr>
        <w:tblW w:w="5714" w:type="dxa"/>
        <w:jc w:val="center"/>
        <w:tblInd w:w="0" w:type="dxa"/>
        <w:tblLayout w:type="fixed"/>
        <w:tblCellMar>
          <w:top w:w="28" w:type="dxa"/>
          <w:left w:w="28" w:type="dxa"/>
          <w:bottom w:w="28" w:type="dxa"/>
          <w:right w:w="28" w:type="dxa"/>
        </w:tblCellMar>
      </w:tblPr>
      <w:tblGrid>
        <w:gridCol w:w="711"/>
        <w:gridCol w:w="624"/>
        <w:gridCol w:w="630"/>
        <w:gridCol w:w="134"/>
        <w:gridCol w:w="134"/>
        <w:gridCol w:w="136"/>
        <w:gridCol w:w="980"/>
        <w:gridCol w:w="980"/>
        <w:gridCol w:w="138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3, 2023</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Siobhan Nolan Mangini</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 set forth in Rule 13a-14(b) of the Securities Exchange Act of 1934, as amended, (the “Exchange Act”) and Section 1350 of Chapter 63 of Title 18 of the United States Code (18 U.S.C. § 1350), David Woodhouse, Chief Executive Officer and Director of NGM Biopharmaceuticals, Inc. (the “Company”), and Siobhan Nolan Mangini, President and Chief Financial Officer of the Company, each hereby certifies that, to the best of his or her knowledge:</w:t>
      </w:r>
    </w:p>
    <w:p>
      <w:pPr>
        <w:pStyle w:val="TextBody"/>
        <w:bidi w:val="0"/>
        <w:spacing w:lineRule="auto" w:line="288" w:before="240" w:after="283"/>
        <w:ind w:left="0" w:right="0" w:hanging="540"/>
        <w:jc w:val="both"/>
        <w:rPr>
          <w:rFonts w:ascii="Arial;sans-serif" w:hAnsi="Arial;sans-serif"/>
          <w:b w:val="false"/>
          <w:color w:val="000000"/>
          <w:sz w:val="20"/>
        </w:rPr>
      </w:pPr>
      <w:r>
        <w:rPr>
          <w:rFonts w:ascii="Arial;sans-serif" w:hAnsi="Arial;sans-serif"/>
          <w:b w:val="false"/>
          <w:color w:val="000000"/>
          <w:sz w:val="20"/>
        </w:rPr>
        <w:t>1.The Company’s Quarterly Report on Form 10-Q for the period ended June 30, 2023, to which this Certification is attached as Exhibit 32.1 (the “Quarterly Report”), fully complies with the requirements of Section 13(a) or Section 15(d) of the Exchange Act; and</w:t>
      </w:r>
    </w:p>
    <w:p>
      <w:pPr>
        <w:pStyle w:val="TextBody"/>
        <w:bidi w:val="0"/>
        <w:spacing w:lineRule="auto" w:line="288" w:before="240" w:after="283"/>
        <w:ind w:left="0" w:right="0" w:hanging="540"/>
        <w:jc w:val="both"/>
        <w:rPr>
          <w:rFonts w:ascii="Arial;sans-serif" w:hAnsi="Arial;sans-serif"/>
          <w:b w:val="false"/>
          <w:color w:val="000000"/>
          <w:sz w:val="20"/>
        </w:rPr>
      </w:pPr>
      <w:r>
        <w:rPr>
          <w:rFonts w:ascii="Arial;sans-serif" w:hAnsi="Arial;sans-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Dated: August 3, 2023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w:t>
      </w:r>
      <w:r>
        <w:rPr>
          <w:rFonts w:ascii="Arial;sans-serif" w:hAnsi="Arial;sans-serif"/>
          <w:b/>
          <w:color w:val="000000"/>
          <w:sz w:val="16"/>
        </w:rPr>
        <w:t>N</w:t>
      </w:r>
      <w:r>
        <w:rPr>
          <w:color w:val="000000"/>
        </w:rPr>
        <w:t xml:space="preserve"> </w:t>
      </w:r>
      <w:r>
        <w:rPr>
          <w:rFonts w:ascii="Arial;sans-serif" w:hAnsi="Arial;sans-serif"/>
          <w:b/>
          <w:color w:val="000000"/>
          <w:sz w:val="20"/>
        </w:rPr>
        <w:t>W</w:t>
      </w:r>
      <w:r>
        <w:rPr>
          <w:rFonts w:ascii="Arial;sans-serif" w:hAnsi="Arial;sans-serif"/>
          <w:b/>
          <w:color w:val="000000"/>
          <w:sz w:val="16"/>
        </w:rPr>
        <w:t>ITNESS</w:t>
      </w:r>
      <w:r>
        <w:rPr>
          <w:color w:val="000000"/>
        </w:rPr>
        <w:t xml:space="preserve"> </w:t>
      </w:r>
      <w:r>
        <w:rPr>
          <w:rFonts w:ascii="Arial;sans-serif" w:hAnsi="Arial;sans-serif"/>
          <w:b/>
          <w:color w:val="000000"/>
          <w:sz w:val="20"/>
        </w:rPr>
        <w:t>W</w:t>
      </w:r>
      <w:r>
        <w:rPr>
          <w:rFonts w:ascii="Arial;sans-serif" w:hAnsi="Arial;sans-serif"/>
          <w:b/>
          <w:color w:val="000000"/>
          <w:sz w:val="16"/>
        </w:rPr>
        <w:t>HEREOF</w:t>
      </w:r>
      <w:r>
        <w:rPr>
          <w:rFonts w:ascii="Arial;sans-serif" w:hAnsi="Arial;sans-serif"/>
          <w:b w:val="false"/>
          <w:color w:val="000000"/>
          <w:sz w:val="20"/>
        </w:rPr>
        <w:t>, the undersigned have set their hands hereto as of the 3</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August, 2023.</w:t>
      </w:r>
    </w:p>
    <w:tbl>
      <w:tblPr>
        <w:tblW w:w="6927" w:type="dxa"/>
        <w:jc w:val="left"/>
        <w:tblInd w:w="0" w:type="dxa"/>
        <w:tblLayout w:type="fixed"/>
        <w:tblCellMar>
          <w:top w:w="28" w:type="dxa"/>
          <w:left w:w="28" w:type="dxa"/>
          <w:bottom w:w="28" w:type="dxa"/>
          <w:right w:w="28" w:type="dxa"/>
        </w:tblCellMar>
      </w:tblPr>
      <w:tblGrid>
        <w:gridCol w:w="1179"/>
        <w:gridCol w:w="1035"/>
        <w:gridCol w:w="1041"/>
        <w:gridCol w:w="109"/>
        <w:gridCol w:w="109"/>
        <w:gridCol w:w="109"/>
        <w:gridCol w:w="980"/>
        <w:gridCol w:w="980"/>
        <w:gridCol w:w="1385"/>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J. Woodhouse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Siobhan Nolan Mangini</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J. Woodhouse,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Siobhan Nolan Mangini</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(Principal Financial Officer)</w:t>
            </w:r>
          </w:p>
        </w:tc>
      </w:tr>
    </w:tbl>
    <w:p>
      <w:pPr>
        <w:pStyle w:val="TextBody"/>
        <w:bidi w:val="0"/>
        <w:spacing w:before="240" w:after="283"/>
        <w:jc w:val="left"/>
        <w:rPr/>
      </w:pPr>
      <w:r>
        <w:rPr/>
      </w:r>
    </w:p>
    <w:p>
      <w:pPr>
        <w:pStyle w:val="TextBody"/>
        <w:bidi w:val="0"/>
        <w:spacing w:before="240" w:after="283"/>
        <w:jc w:val="both"/>
        <w:rPr/>
      </w:pPr>
      <w:r>
        <w:rPr/>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This certification accompanies the Quarterly Report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426332/000119312519100757/d731361dex31.htm" TargetMode="External"/><Relationship Id="rId3" Type="http://schemas.openxmlformats.org/officeDocument/2006/relationships/hyperlink" Target="https://www.sec.gov/Archives/edgar/data/0001426332/000119312518287727/d693178dex34.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55859</Words>
  <Characters>312697</Characters>
  <CharactersWithSpaces>367116</CharactersWithSpaces>
  <Paragraphs>2186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