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37" w:lineRule="exact"/>
        <w:rPr>
          <w:sz w:val="24"/>
          <w:szCs w:val="24"/>
          <w:color w:val="auto"/>
        </w:rPr>
      </w:pPr>
    </w:p>
    <w:p>
      <w:pPr>
        <w:jc w:val="center"/>
        <w:ind w:left="740" w:right="759"/>
        <w:spacing w:after="0" w:line="268" w:lineRule="auto"/>
        <w:rPr>
          <w:sz w:val="20"/>
          <w:szCs w:val="20"/>
          <w:color w:val="auto"/>
        </w:rPr>
      </w:pPr>
      <w:r>
        <w:rPr>
          <w:rFonts w:ascii="Times New Roman" w:cs="Times New Roman" w:eastAsia="Times New Roman" w:hAnsi="Times New Roman"/>
          <w:sz w:val="18"/>
          <w:szCs w:val="18"/>
          <w:b w:val="1"/>
          <w:bCs w:val="1"/>
          <w:color w:val="auto"/>
        </w:rPr>
        <w:t>TENDER OFFER STATEMENT UNDER SECTION 14(d)(1) OR 13(e)(1) OF THE SECURITIES EXCHANGE ACT OF 1934 (Amendment No. 2)</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ATLAS NEON PARENT,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(Parent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57150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1" w:name="page2"/>
    <w:bookmarkEnd w:id="1"/>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COLUMN GROUP IV-A, LP</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DAVID V. GOEDDEL</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James Evangelista</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1 Letterman Drive</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Building D, Suite DM-900</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(415) 865-2050</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Austin S. Pollet</w:t>
      </w:r>
    </w:p>
    <w:p>
      <w:pPr>
        <w:spacing w:after="0" w:line="3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Luke Jennings</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207" w:lineRule="exact"/>
        <w:rPr>
          <w:sz w:val="20"/>
          <w:szCs w:val="20"/>
          <w:color w:val="auto"/>
        </w:rPr>
      </w:pPr>
    </w:p>
    <w:p>
      <w:pPr>
        <w:ind w:left="652" w:right="1180" w:hanging="652"/>
        <w:spacing w:after="0" w:line="477" w:lineRule="auto"/>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0"/>
          <w:szCs w:val="20"/>
          <w:color w:val="auto"/>
        </w:rPr>
      </w:pPr>
    </w:p>
    <w:p>
      <w:pPr>
        <w:ind w:left="652" w:right="6060" w:hanging="4"/>
        <w:spacing w:after="0" w:line="226" w:lineRule="exact"/>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652" w:right="5920" w:hanging="4"/>
        <w:spacing w:after="0" w:line="229" w:lineRule="exact"/>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346" w:lineRule="exact"/>
        <w:rPr>
          <w:sz w:val="20"/>
          <w:szCs w:val="20"/>
          <w:color w:val="auto"/>
        </w:rPr>
      </w:pPr>
    </w:p>
    <w:p>
      <w:pPr>
        <w:ind w:left="652"/>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0"/>
          <w:szCs w:val="20"/>
          <w:color w:val="auto"/>
        </w:rPr>
      </w:pPr>
    </w:p>
    <w:p>
      <w:pPr>
        <w:ind w:left="1292" w:hanging="644"/>
        <w:spacing w:after="0"/>
        <w:tabs>
          <w:tab w:leader="none" w:pos="129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292" w:hanging="644"/>
        <w:spacing w:after="0"/>
        <w:tabs>
          <w:tab w:leader="none" w:pos="129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295910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52"/>
          </w:cols>
          <w:pgMar w:left="328" w:top="495" w:right="919" w:bottom="1440" w:gutter="0" w:footer="0" w:header="0"/>
        </w:sectPr>
      </w:pPr>
    </w:p>
    <w:bookmarkStart w:id="2" w:name="page3"/>
    <w:bookmarkEnd w:id="2"/>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Tender Offer Statement on Schedule TO and Rule 13E-3 Transaction Statement originally filed under cover of Schedule TO on March 8, 2024, as amended by Amendment No. 1 thereto, filed on March 22, 2024 (as amended,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by Atlas Neon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Atlas Neon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 purchase all outstanding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NGM Biopharmaceuticals, Inc., a Delaware corporation (“</w:t>
      </w:r>
      <w:r>
        <w:rPr>
          <w:rFonts w:ascii="Times New Roman" w:cs="Times New Roman" w:eastAsia="Times New Roman" w:hAnsi="Times New Roman"/>
          <w:sz w:val="18"/>
          <w:szCs w:val="18"/>
          <w:u w:val="single" w:color="auto"/>
          <w:color w:val="auto"/>
        </w:rPr>
        <w:t>NGM</w:t>
      </w:r>
      <w:r>
        <w:rPr>
          <w:rFonts w:ascii="Times New Roman" w:cs="Times New Roman" w:eastAsia="Times New Roman" w:hAnsi="Times New Roman"/>
          <w:sz w:val="18"/>
          <w:szCs w:val="18"/>
          <w:color w:val="auto"/>
        </w:rPr>
        <w:t>”), other than the Rollover Shares (as defined in the Offer to Purchase), for $1.55 per Share in cash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upon the terms and subject to the conditions described in the Offer to Purchase, dated March 8, 2024 (as amended or supplemented from time to time,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related Letter of Transmittal (together with the Offer to Purchase,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copies of which have been filed as exhibits (a)(1)(A) and (a)(1)(B), respectively, to the Schedule TO. The Offer is being made pursuant to the Agreement and Plan of Merger, dated as of February 25, 2024 (together with any amendments or supplements thereto,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NGM, Parent and Purchaser, a copy of which has been filed as Exhibit (d)(1) to the Schedule TO and incorporated herein by reference with respect to Items 4 through 11 and 13 of this Schedule TO. Capitalized terms used but not otherwise defined herein have the meanings ascribed thereto in the Offer to Purchase.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Amendment is being filed to disclose certain updates as reflected below.</w:t>
      </w:r>
    </w:p>
    <w:p>
      <w:pPr>
        <w:spacing w:after="0" w:line="225" w:lineRule="exact"/>
        <w:rPr>
          <w:sz w:val="20"/>
          <w:szCs w:val="20"/>
          <w:color w:val="auto"/>
        </w:rPr>
      </w:pPr>
    </w:p>
    <w:p>
      <w:pPr>
        <w:ind w:right="500"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in response to all of the items of the Schedule TO and is amended and supplemented by the information specifically provided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ITEM 11 AND ITEM 13</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information set forth in Items 1 through 9, Item 11 and Item 13 of the Schedule TO are hereby amended and supplemented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of the Offer and Closing of the Merger</w:t>
      </w:r>
    </w:p>
    <w:p>
      <w:pPr>
        <w:spacing w:after="0" w:line="22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Offer and related withdrawal rights expired at one minute after 11:59 p.m. Eastern Time on April 4, 2024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and were not further extended. The Depositary and Paying Agent has advised Parent and Purchaser that, as of the Expiration Date, a total of 22,323,295 Shares were validly tendered in the Offer, and not validly withdrawn, representing approximately 27% of the Shares outstanding as of the Expiration Date and a majority of the Shares owned by the Unaffiliated Stockholders.</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the Expiration Date, the number of Shares validly tendered in accordance with the terms of the Offer and not validly withdrawn satisfied the Minimum Tender Condition, and all other conditions to the Offer were satisfied or waived. Immediately after the Expiration Date, Purchaser irrevocably accepted for payment all Shares validly tendered and not validly withdrawn, and expects to promptly pay for such Shares. An additional 39,516,567 Shares, owned by the TCG Rollover Stockholders and the Rollover Stockholders were contributed to Parent pursuant to the Rollover Agreements in exchange for shares of Parent.</w:t>
      </w:r>
    </w:p>
    <w:p>
      <w:pPr>
        <w:spacing w:after="0" w:line="183" w:lineRule="exact"/>
        <w:rPr>
          <w:sz w:val="20"/>
          <w:szCs w:val="20"/>
          <w:color w:val="auto"/>
        </w:rPr>
      </w:pPr>
    </w:p>
    <w:p>
      <w:pPr>
        <w:ind w:firstLine="405"/>
        <w:spacing w:after="0" w:line="272" w:lineRule="auto"/>
        <w:rPr>
          <w:sz w:val="20"/>
          <w:szCs w:val="20"/>
          <w:color w:val="auto"/>
        </w:rPr>
      </w:pPr>
      <w:r>
        <w:rPr>
          <w:rFonts w:ascii="Times New Roman" w:cs="Times New Roman" w:eastAsia="Times New Roman" w:hAnsi="Times New Roman"/>
          <w:sz w:val="17"/>
          <w:szCs w:val="17"/>
          <w:color w:val="auto"/>
        </w:rPr>
        <w:t>As a result of its acceptance of the Shares tendered pursuant to the Offer and the contribution of Shares pursuant to the Rollover Agreements, in accordance with Section 251(h) of the DGCL, Purchaser owns a number of Shares that is greater than the percentage of Shares that would be required to adopt the Merger Agreement by a vote of NGM stockholders. Accordingly, pursuant to the Merger Agreement, Parent and Purchaser completed the acquisition of NGM on April 5, 2024 by consummating the Merger pursuant to the Merger Agreement without a vote of NGM stockholders in accordance with Section 251(h) of the DGCL. At the Effective Time, each outstanding Share (other than (i) any Shares owned by NGM, (ii) any Shares owned, directly or indirectly, by Parent, Purchaser or any subsidiary of Parent, the TCG Stockholders or the Rollover Stockholders, (iii) any Shares irrevocably accepted for purchase in the Offer and (iv) Shares owned by any stockholders who were entitled to and who properly exercised appraisal rights under Delaware law), was cancelled and converted into the right to receive the Offer Price, without interest and subject to any applicable tax withholding, from Purchaser.</w:t>
      </w:r>
    </w:p>
    <w:p>
      <w:pPr>
        <w:spacing w:after="0" w:line="172"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Prior to the opening of trading on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on April 5, 2024, all Shares ceased trading, and following the consummation of the Merger, all Shares will be delisted from Nasdaq and deregistered under the Exchange Act.</w:t>
      </w:r>
    </w:p>
    <w:p>
      <w:pPr>
        <w:spacing w:after="0" w:line="16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On April 5, 2024, NGM issued a press release announcing the expiration and results of the Offer and the consummation of the Merger. A copy of the press release issued by NGM is filed as Exhibit (a)(1)(G) hereto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 No.</w:t>
            </w:r>
          </w:p>
        </w:tc>
        <w:tc>
          <w:tcPr>
            <w:tcW w:w="10100" w:type="dxa"/>
            <w:vAlign w:val="bottom"/>
          </w:tcPr>
          <w:p>
            <w:pPr>
              <w:spacing w:after="0"/>
              <w:rPr>
                <w:sz w:val="24"/>
                <w:szCs w:val="24"/>
                <w:color w:val="auto"/>
              </w:rPr>
            </w:pPr>
          </w:p>
        </w:tc>
      </w:tr>
      <w:tr>
        <w:trPr>
          <w:trHeight w:val="176"/>
        </w:trPr>
        <w:tc>
          <w:tcPr>
            <w:tcW w:w="920" w:type="dxa"/>
            <w:vAlign w:val="bottom"/>
            <w:tcBorders>
              <w:top w:val="single" w:sz="8" w:color="auto"/>
            </w:tcBorders>
            <w:gridSpan w:val="2"/>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(a)(1)(G)*</w:t>
              </w:r>
            </w:hyperlink>
          </w:p>
        </w:tc>
        <w:tc>
          <w:tcPr>
            <w:tcW w:w="220" w:type="dxa"/>
            <w:vAlign w:val="bottom"/>
          </w:tcPr>
          <w:p>
            <w:pPr>
              <w:spacing w:after="0"/>
              <w:rPr>
                <w:sz w:val="15"/>
                <w:szCs w:val="15"/>
                <w:color w:val="auto"/>
              </w:rPr>
            </w:pPr>
          </w:p>
        </w:tc>
        <w:tc>
          <w:tcPr>
            <w:tcW w:w="101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of NGM issued on April 5, 2024 (incorporated by reference to Exhibit (a)(1)(J) to NGM’s Amendment No. 3 to Schedule</w:t>
            </w:r>
          </w:p>
        </w:tc>
      </w:tr>
      <w:tr>
        <w:trPr>
          <w:trHeight w:val="237"/>
        </w:trPr>
        <w:tc>
          <w:tcPr>
            <w:tcW w:w="76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14D-9 filed with the SEC on April 5, 2024).</w:t>
            </w:r>
          </w:p>
        </w:tc>
      </w:tr>
    </w:tbl>
    <w:p>
      <w:pPr>
        <w:spacing w:after="0" w:line="19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5, 2024</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ATLAS NEON PARENT, INC</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The Column Group GP, LP</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The Column Group II GP, LP</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bookmarkStart w:id="5" w:name="page6"/>
    <w:bookmarkEnd w:id="5"/>
    <w:p>
      <w:pPr>
        <w:ind w:left="4480"/>
        <w:spacing w:after="0"/>
        <w:rPr>
          <w:sz w:val="20"/>
          <w:szCs w:val="20"/>
          <w:color w:val="auto"/>
        </w:rPr>
      </w:pPr>
      <w:r>
        <w:rPr>
          <w:rFonts w:ascii="Times New Roman" w:cs="Times New Roman" w:eastAsia="Times New Roman" w:hAnsi="Times New Roman"/>
          <w:sz w:val="17"/>
          <w:szCs w:val="17"/>
          <w:b w:val="1"/>
          <w:bCs w:val="1"/>
          <w:color w:val="auto"/>
        </w:rPr>
        <w:t>THE COLUMN GROUP MANAGEMENT, LP</w:t>
      </w:r>
    </w:p>
    <w:p>
      <w:pPr>
        <w:spacing w:after="0" w:line="241"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Ponoi Management, LLC</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Ponoi II Management, LLC</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ind w:left="4480"/>
        <w:spacing w:after="0"/>
        <w:rPr>
          <w:sz w:val="20"/>
          <w:szCs w:val="20"/>
          <w:color w:val="auto"/>
        </w:rPr>
      </w:pPr>
      <w:r>
        <w:rPr>
          <w:rFonts w:ascii="Times New Roman" w:cs="Times New Roman" w:eastAsia="Times New Roman" w:hAnsi="Times New Roman"/>
          <w:sz w:val="17"/>
          <w:szCs w:val="17"/>
          <w:b w:val="1"/>
          <w:bCs w:val="1"/>
          <w:color w:val="auto"/>
        </w:rPr>
        <w:t>THE COLUMN GROUP III GP, LP</w:t>
      </w:r>
    </w:p>
    <w:p>
      <w:pPr>
        <w:spacing w:after="0" w:line="241"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The Column Group III, GP</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The Column Group III, GP</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The Column Group IV GP, LP</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TCG IV GP, LLC</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ind w:left="448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The Column Group IV GP, LP</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TCG IV GP, LLC</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TCG IV GP, LLC</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THE COLUMN GROUP OPPORTUNITY III, LP</w:t>
      </w:r>
    </w:p>
    <w:p>
      <w:pPr>
        <w:spacing w:after="0" w:line="241"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The Column Group Opportunity III GP, LP</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TCG Opportunity III GP, LLC</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 w:name="page9"/>
    <w:bookmarkEnd w:id="8"/>
    <w:p>
      <w:pPr>
        <w:ind w:left="4480"/>
        <w:spacing w:after="0"/>
        <w:rPr>
          <w:sz w:val="20"/>
          <w:szCs w:val="20"/>
          <w:color w:val="auto"/>
        </w:rPr>
      </w:pPr>
      <w:r>
        <w:rPr>
          <w:rFonts w:ascii="Times New Roman" w:cs="Times New Roman" w:eastAsia="Times New Roman" w:hAnsi="Times New Roman"/>
          <w:sz w:val="17"/>
          <w:szCs w:val="17"/>
          <w:b w:val="1"/>
          <w:bCs w:val="1"/>
          <w:color w:val="auto"/>
        </w:rPr>
        <w:t>THE COLUMN GROUP OPPORTUNITY III GP, LP</w:t>
      </w:r>
    </w:p>
    <w:p>
      <w:pPr>
        <w:spacing w:after="0" w:line="241"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TCG Opportunity III GP, LLC</w:t>
      </w:r>
    </w:p>
    <w:p>
      <w:pPr>
        <w:spacing w:after="0" w:line="225"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Svennilson</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Timothy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DAVID V. GOEDDEL</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74695"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19" Type="http://schemas.openxmlformats.org/officeDocument/2006/relationships/hyperlink" Target="https://www.sec.gov/Archives/edgar/data/1426332/000119312524088024/d811659dex99a1j.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2024-04-05T08:52:01Z</dcterms:created>
  <dcterms:modified xsi:type="dcterms:W3CDTF">2024-04-05T08:52:01Z</dcterms:modified>
</cp:coreProperties>
</file>