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628015</wp:posOffset>
            </wp:positionV>
            <wp:extent cx="716153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648335</wp:posOffset>
            </wp:positionV>
            <wp:extent cx="716153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Washington, D.C. 20549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Proxy Statement Pursuant to Section 14(a) of the Securities Exchange Act of 1934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tabs>
          <w:tab w:leader="none" w:pos="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3842385</wp:posOffset>
            </wp:positionH>
            <wp:positionV relativeFrom="paragraph">
              <wp:posOffset>-6985</wp:posOffset>
            </wp:positionV>
            <wp:extent cx="67310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pacing w:after="0" w:line="161" w:lineRule="exact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☑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Check the appropriate box: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146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146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Pursuant to § 240.14a-12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NGM Biopharmaceuticals,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17145</wp:posOffset>
            </wp:positionV>
            <wp:extent cx="7161530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Registrant as Specified In Its Charter)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9525</wp:posOffset>
            </wp:positionV>
            <wp:extent cx="7161530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Person(s) Filing Proxy Statement if Other Than the Registrant)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Payment of Filing Fee (Check the appropriate box)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materials.</w:t>
      </w:r>
    </w:p>
    <w:p>
      <w:pPr>
        <w:spacing w:after="0" w:line="104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60" w:hanging="441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318135</wp:posOffset>
            </wp:positionV>
            <wp:extent cx="7161530" cy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338455</wp:posOffset>
            </wp:positionV>
            <wp:extent cx="7161530" cy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117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2022-04-06T15:15:49Z</dcterms:created>
  <dcterms:modified xsi:type="dcterms:W3CDTF">2022-04-06T15:15:49Z</dcterms:modified>
</cp:coreProperties>
</file>