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24925_sctota.htm"/>
      <w:bookmarkStart w:id="1" w:name="ksef20024925_sctota"/>
      <w:bookmarkStart w:id="2" w:name="ef20024925_sctota.htm"/>
      <w:bookmarkStart w:id="3" w:name="ksef20024925_sctota"/>
      <w:bookmarkEnd w:id="2"/>
      <w:bookmarkEnd w:id="3"/>
    </w:p>
    <w:p>
      <w:pPr>
        <w:pStyle w:val="TextBody"/>
        <w:bidi w:val="0"/>
        <w:spacing w:before="0" w:after="0"/>
        <w:jc w:val="center"/>
        <w:rPr>
          <w:rFonts w:ascii="Times New Roman" w:hAnsi="Times New Roman"/>
          <w:b/>
          <w:color w:val="000000"/>
          <w:sz w:val="28"/>
        </w:rPr>
      </w:pPr>
      <w:bookmarkStart w:id="4" w:name="ny20010094x1_sctota_400-exa1a_pg1"/>
      <w:bookmarkEnd w:id="4"/>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TENDER OFFER STATEMENT UNDER SECTION 14(d)(1)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 13(e)(1) OF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bookmarkStart w:id="5" w:name="z_Hlk160223013"/>
      <w:bookmarkEnd w:id="5"/>
      <w:r>
        <w:rPr>
          <w:rFonts w:ascii="Times New Roman" w:hAnsi="Times New Roman"/>
          <w:b/>
          <w:color w:val="000000"/>
          <w:sz w:val="48"/>
        </w:rPr>
        <w:t>NGM BIOPHARMACEUTICALS,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Subject Company (Issuer))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ATLAS NEON MERGER SUB,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(Offeror))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ATLAS NEON PARENT,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(Parent of Offeror))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GP,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II,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II GP,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MANAGEMENT,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PONOI CAPITAL,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PONOI MANAGEMENT, LLC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PONOI CAPITAL II,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PONOI II MANAGEMENT, LLC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III,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III-A,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III GP,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IV,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IV-A,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IV GP,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TCG IV GP, LLC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OPPORTUNITY III,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OPPORTUNITY III GP,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TCG OPPORTUNITY III GP, LLC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PETER SVENNILSON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V. GOEDDEL</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TIMOTHY KUTZKEY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Filing Persons (Affiliate of Offeror))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62921N 105</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James Evangelista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Column Group, 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 Letterman Drive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Building D, Suite DM-900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San Francisco, CA 94129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(415) 865-2050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 on Behalf of Filing Persons)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Copies to:</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Austin S. Pollet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Luke Jennings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Paul, Weiss, Rifkind, Wharton &amp; Garrison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1285 Avenue of the Americas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New York 10019</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Check the box if the filing relates solely to preliminary communications made before the commencement of a tender offer.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Check the appropriate boxes below to designate any transactions to which the statement relates:</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color w:val="000000"/>
        </w:rPr>
      </w:pPr>
      <w:r>
        <w:rPr>
          <w:color w:val="000000"/>
        </w:rPr>
        <w:t xml:space="preserve">☒     </w:t>
      </w:r>
      <w:r>
        <w:rPr>
          <w:rFonts w:ascii="Times New Roman" w:hAnsi="Times New Roman"/>
          <w:color w:val="000000"/>
          <w:sz w:val="20"/>
        </w:rPr>
        <w:t>third-party tender offer subject to Rule 14d-1.</w:t>
      </w:r>
    </w:p>
    <w:p>
      <w:pPr>
        <w:pStyle w:val="TextBody"/>
        <w:bidi w:val="0"/>
        <w:spacing w:before="0" w:after="0"/>
        <w:ind w:left="1440" w:right="0" w:firstLine="720"/>
        <w:jc w:val="left"/>
        <w:rPr>
          <w:color w:val="000000"/>
        </w:rPr>
      </w:pPr>
      <w:r>
        <w:rPr>
          <w:color w:val="000000"/>
        </w:rPr>
        <w:t xml:space="preserve">☐     </w:t>
      </w:r>
      <w:r>
        <w:rPr>
          <w:rFonts w:ascii="Times New Roman" w:hAnsi="Times New Roman"/>
          <w:color w:val="000000"/>
          <w:sz w:val="20"/>
        </w:rPr>
        <w:t>issuer tender offer subject to Rule 13e-4.</w:t>
      </w:r>
    </w:p>
    <w:p>
      <w:pPr>
        <w:pStyle w:val="TextBody"/>
        <w:bidi w:val="0"/>
        <w:spacing w:before="0" w:after="0"/>
        <w:ind w:left="1440" w:right="0" w:firstLine="720"/>
        <w:jc w:val="left"/>
        <w:rPr>
          <w:color w:val="000000"/>
        </w:rPr>
      </w:pPr>
      <w:r>
        <w:rPr>
          <w:color w:val="000000"/>
        </w:rPr>
        <w:t xml:space="preserve">☒     </w:t>
      </w:r>
      <w:r>
        <w:rPr>
          <w:rFonts w:ascii="Times New Roman" w:hAnsi="Times New Roman"/>
          <w:color w:val="000000"/>
          <w:sz w:val="20"/>
        </w:rPr>
        <w:t>going-private transaction subject to Rule 13e-3.</w:t>
      </w:r>
    </w:p>
    <w:p>
      <w:pPr>
        <w:pStyle w:val="TextBody"/>
        <w:bidi w:val="0"/>
        <w:spacing w:before="0" w:after="0"/>
        <w:ind w:left="1440" w:right="0" w:firstLine="720"/>
        <w:jc w:val="left"/>
        <w:rPr>
          <w:color w:val="000000"/>
        </w:rPr>
      </w:pPr>
      <w:r>
        <w:rPr>
          <w:color w:val="000000"/>
        </w:rPr>
        <w:t xml:space="preserve">☐     </w:t>
      </w:r>
      <w:r>
        <w:rPr>
          <w:rFonts w:ascii="Times New Roman" w:hAnsi="Times New Roman"/>
          <w:color w:val="000000"/>
          <w:sz w:val="20"/>
        </w:rPr>
        <w:t>amendment to Schedule 13D under Rule 13d-2.</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Check the following box if the filing is a final amendment reporting the results of the tender offer. ☐</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If applicable, check the appropriate box(es) below to designate the appropriate rule provision(s) relied upon:</w:t>
      </w:r>
    </w:p>
    <w:p>
      <w:pPr>
        <w:pStyle w:val="TextBody"/>
        <w:bidi w:val="0"/>
        <w:spacing w:before="0" w:after="0"/>
        <w:jc w:val="left"/>
        <w:rPr>
          <w:color w:val="000000"/>
        </w:rPr>
      </w:pPr>
      <w:r>
        <w:rPr>
          <w:color w:val="000000"/>
        </w:rPr>
        <w:t> </w:t>
      </w:r>
    </w:p>
    <w:p>
      <w:pPr>
        <w:pStyle w:val="TextBody"/>
        <w:bidi w:val="0"/>
        <w:spacing w:before="0" w:after="0"/>
        <w:ind w:left="1440" w:right="0" w:firstLine="720"/>
        <w:jc w:val="left"/>
        <w:rPr>
          <w:color w:val="000000"/>
        </w:rPr>
      </w:pPr>
      <w:r>
        <w:rPr>
          <w:color w:val="000000"/>
        </w:rPr>
        <w:t xml:space="preserve">☐     </w:t>
      </w:r>
      <w:r>
        <w:rPr>
          <w:rFonts w:ascii="Times New Roman" w:hAnsi="Times New Roman"/>
          <w:color w:val="000000"/>
          <w:sz w:val="20"/>
        </w:rPr>
        <w:t>Rule 13e-4(i) (Cross-Border Issuer Tender Offer)</w:t>
      </w:r>
    </w:p>
    <w:p>
      <w:pPr>
        <w:pStyle w:val="TextBody"/>
        <w:bidi w:val="0"/>
        <w:spacing w:before="0" w:after="0"/>
        <w:ind w:left="1440" w:right="0" w:firstLine="720"/>
        <w:jc w:val="left"/>
        <w:rPr>
          <w:color w:val="000000"/>
        </w:rPr>
      </w:pPr>
      <w:r>
        <w:rPr>
          <w:color w:val="000000"/>
        </w:rPr>
        <w:t xml:space="preserve">☐     </w:t>
      </w:r>
      <w:r>
        <w:rPr>
          <w:rFonts w:ascii="Times New Roman" w:hAnsi="Times New Roman"/>
          <w:color w:val="000000"/>
          <w:sz w:val="20"/>
        </w:rPr>
        <w:t>Rule 13d-1(d) (Cross-Border Third-Party Tender Offer)</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This Amendment No. 1 (this “</w:t>
      </w:r>
      <w:r>
        <w:rPr>
          <w:rFonts w:ascii="Times New Roman" w:hAnsi="Times New Roman"/>
          <w:color w:val="000000"/>
          <w:sz w:val="20"/>
          <w:u w:val="single"/>
        </w:rPr>
        <w:t>Amendment</w:t>
      </w:r>
      <w:r>
        <w:rPr>
          <w:rFonts w:ascii="Times New Roman" w:hAnsi="Times New Roman"/>
          <w:color w:val="000000"/>
          <w:sz w:val="20"/>
        </w:rPr>
        <w:t>”) amends and supplements the Tender Offer Statement on Schedule TO and Rule 13E-3 Transaction Statement originally filed under cover of Schedule TO on March 8, 2024 (the “</w:t>
      </w:r>
      <w:r>
        <w:rPr>
          <w:rFonts w:ascii="Times New Roman" w:hAnsi="Times New Roman"/>
          <w:color w:val="000000"/>
          <w:sz w:val="20"/>
          <w:u w:val="single"/>
        </w:rPr>
        <w:t>Schedule TO</w:t>
      </w:r>
      <w:r>
        <w:rPr>
          <w:rFonts w:ascii="Times New Roman" w:hAnsi="Times New Roman"/>
          <w:color w:val="000000"/>
          <w:sz w:val="20"/>
        </w:rPr>
        <w:t>”), by Atlas Neon Merger Sub, Inc., a Delaware corporation (“</w:t>
      </w:r>
      <w:r>
        <w:rPr>
          <w:rFonts w:ascii="Times New Roman" w:hAnsi="Times New Roman"/>
          <w:color w:val="000000"/>
          <w:sz w:val="20"/>
          <w:u w:val="single"/>
        </w:rPr>
        <w:t>Purchaser</w:t>
      </w:r>
      <w:r>
        <w:rPr>
          <w:rFonts w:ascii="Times New Roman" w:hAnsi="Times New Roman"/>
          <w:color w:val="000000"/>
          <w:sz w:val="20"/>
        </w:rPr>
        <w:t>”) and a wholly owned subsidiary of Atlas Neon Parent, Inc., a Delaware corporation (“</w:t>
      </w:r>
      <w:r>
        <w:rPr>
          <w:rFonts w:ascii="Times New Roman" w:hAnsi="Times New Roman"/>
          <w:color w:val="000000"/>
          <w:sz w:val="20"/>
          <w:u w:val="single"/>
        </w:rPr>
        <w:t>Parent</w:t>
      </w:r>
      <w:r>
        <w:rPr>
          <w:rFonts w:ascii="Times New Roman" w:hAnsi="Times New Roman"/>
          <w:color w:val="000000"/>
          <w:sz w:val="20"/>
        </w:rPr>
        <w:t>”), to purchase all outstanding shares of common stock, par value $0.001 per share (the “</w:t>
      </w:r>
      <w:r>
        <w:rPr>
          <w:rFonts w:ascii="Times New Roman" w:hAnsi="Times New Roman"/>
          <w:color w:val="000000"/>
          <w:sz w:val="20"/>
          <w:u w:val="single"/>
        </w:rPr>
        <w:t>Shares</w:t>
      </w:r>
      <w:r>
        <w:rPr>
          <w:rFonts w:ascii="Times New Roman" w:hAnsi="Times New Roman"/>
          <w:color w:val="000000"/>
          <w:sz w:val="20"/>
        </w:rPr>
        <w:t>”), of NGM Biopharmaceuticals, Inc., a Delaware corporation (“</w:t>
      </w:r>
      <w:r>
        <w:rPr>
          <w:rFonts w:ascii="Times New Roman" w:hAnsi="Times New Roman"/>
          <w:color w:val="000000"/>
          <w:sz w:val="20"/>
          <w:u w:val="single"/>
        </w:rPr>
        <w:t>NGM</w:t>
      </w:r>
      <w:r>
        <w:rPr>
          <w:rFonts w:ascii="Times New Roman" w:hAnsi="Times New Roman"/>
          <w:color w:val="000000"/>
          <w:sz w:val="20"/>
        </w:rPr>
        <w:t>”), other than the Rollover Shares (as defined in the Offer to Purchase), for $1.55 per Share in cash (the “</w:t>
      </w:r>
      <w:r>
        <w:rPr>
          <w:rFonts w:ascii="Times New Roman" w:hAnsi="Times New Roman"/>
          <w:color w:val="000000"/>
          <w:sz w:val="20"/>
          <w:u w:val="single"/>
        </w:rPr>
        <w:t>Offer Price</w:t>
      </w:r>
      <w:r>
        <w:rPr>
          <w:rFonts w:ascii="Times New Roman" w:hAnsi="Times New Roman"/>
          <w:color w:val="000000"/>
          <w:sz w:val="20"/>
        </w:rPr>
        <w:t>”) upon the terms and subject to the conditions described in the Offer to Purchase (together with any amendments and supplements thereto, the “</w:t>
      </w:r>
      <w:r>
        <w:rPr>
          <w:rFonts w:ascii="Times New Roman" w:hAnsi="Times New Roman"/>
          <w:color w:val="000000"/>
          <w:sz w:val="20"/>
          <w:u w:val="single"/>
        </w:rPr>
        <w:t>Offer to Purchase</w:t>
      </w:r>
      <w:r>
        <w:rPr>
          <w:rFonts w:ascii="Times New Roman" w:hAnsi="Times New Roman"/>
          <w:color w:val="000000"/>
          <w:sz w:val="20"/>
        </w:rPr>
        <w:t>”) and in the related Letter of Transmittal (together with the Offer to Purchase, the “</w:t>
      </w:r>
      <w:r>
        <w:rPr>
          <w:rFonts w:ascii="Times New Roman" w:hAnsi="Times New Roman"/>
          <w:color w:val="000000"/>
          <w:sz w:val="20"/>
          <w:u w:val="single"/>
        </w:rPr>
        <w:t>Offer</w:t>
      </w:r>
      <w:r>
        <w:rPr>
          <w:rFonts w:ascii="Times New Roman" w:hAnsi="Times New Roman"/>
          <w:color w:val="000000"/>
          <w:sz w:val="20"/>
        </w:rPr>
        <w:t>”), copies of which have been filed as exhibits (a)(1)(A) and (a)(1)(B), respectively, to the Schedule TO. The Offer is being made pursuant to the Agreement and Plan of Merger, dated as of February 25, 2024 (together with any amendments or supplements thereto, the “</w:t>
      </w:r>
      <w:r>
        <w:rPr>
          <w:rFonts w:ascii="Times New Roman" w:hAnsi="Times New Roman"/>
          <w:color w:val="000000"/>
          <w:sz w:val="20"/>
          <w:u w:val="single"/>
        </w:rPr>
        <w:t>Merger Agreement</w:t>
      </w:r>
      <w:r>
        <w:rPr>
          <w:rFonts w:ascii="Times New Roman" w:hAnsi="Times New Roman"/>
          <w:color w:val="000000"/>
          <w:sz w:val="20"/>
        </w:rPr>
        <w:t>”), among NGM, Parent and Purchaser, a copy of which has been filed as Exhibit (d)(1) to the Schedule TO and incorporated herein by reference with respect to Items 4 through 11 and 13 of this Schedule TO. Capitalized terms used but not otherwise defined herein have the meanings ascribed thereto in the Merger Agreement.</w:t>
      </w:r>
    </w:p>
    <w:p>
      <w:pPr>
        <w:pStyle w:val="TextBody"/>
        <w:bidi w:val="0"/>
        <w:spacing w:before="0" w:after="0"/>
        <w:jc w:val="left"/>
        <w:rPr/>
      </w:pPr>
      <w:r>
        <w:rPr/>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purpose of this Amendment is to amend and supplement the Schedule TO and the Offer to Purchase to clarify certain disclosures set forth in the Offer to Purchase.</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Except as otherwise set forth in this Amendment, the information set forth in the Schedule TO remains unchanged and is incorporated herein by reference in response to all of the items of the Schedule TO and is amended and supplemented by the information specifically provided herein.</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Schedule TO is hereby amended and supplemented as follows: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Items 1 through 9, Item 11 and Item 13.</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The Offer, and Items 1 through 9, Item 11 and Item 13 of the Schedule TO, to the extent such Items incorporate by reference the information contained in the Offer to Purchase, are hereby amended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a0fef18a364b4e18bad2eda858fe68d3"/>
      <w:bookmarkStart w:id="7" w:name="za0fef18a364b4e18bad2eda858fe68d3"/>
      <w:bookmarkEnd w:id="7"/>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pPr>
            <w:r>
              <w:rPr/>
            </w:r>
          </w:p>
        </w:tc>
        <w:tc>
          <w:tcPr>
            <w:tcW w:w="217" w:type="dxa"/>
            <w:tcBorders/>
            <w:vAlign w:val="center"/>
          </w:tcPr>
          <w:p>
            <w:pPr>
              <w:pStyle w:val="TableContents"/>
              <w:bidi w:val="0"/>
              <w:spacing w:before="0" w:after="283"/>
              <w:jc w:val="left"/>
              <w:rPr>
                <w:color w:val="000000"/>
              </w:rPr>
            </w:pPr>
            <w:r>
              <w:rPr>
                <w:color w:val="000000"/>
              </w:rPr>
              <w:t>(a)</w:t>
            </w:r>
          </w:p>
        </w:tc>
        <w:tc>
          <w:tcPr>
            <w:tcW w:w="9950" w:type="dxa"/>
            <w:tcBorders/>
            <w:vAlign w:val="center"/>
          </w:tcPr>
          <w:p>
            <w:pPr>
              <w:pStyle w:val="TableContents"/>
              <w:bidi w:val="0"/>
              <w:spacing w:before="0" w:after="0"/>
              <w:jc w:val="left"/>
              <w:rPr>
                <w:color w:val="000000"/>
              </w:rPr>
            </w:pPr>
            <w:r>
              <w:rPr>
                <w:color w:val="000000"/>
              </w:rPr>
              <w:t>The information set forth in “Special Factors—Section 3. Position of Parent and Purchaser Regarding Fairness of the Offer and the Merger” is amended and supplemented by adding the following bullet point following the bullet point “The Offer Price represents a discount of approximately 18.8% in comparison to the closing price on the last trading day prior to the execution of the Merger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dd9693e8de2644d9867089deebbda402"/>
      <w:bookmarkStart w:id="9" w:name="zdd9693e8de2644d9867089deebbda402"/>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w:t>
            </w:r>
            <w:r>
              <w:rPr>
                <w:color w:val="000000"/>
              </w:rPr>
              <w:t>Certain of the Purchaser Parties were previously willing to purchase Shares at higher prices than the Offer Price. For instance, the Offer Price represents a discount of approximately 88.0% over the average price per Share that certain of the Purchaser Parties paid to acquire Shares in the open market between May 9, 2022 and June 9, 2022, and the Offer Price represents a discount of approximately 56% over the average price per Share that certain of the Purchaser Parties paid to acquire Shares in the open market between October 17, 2022 and October 18, 2022. See “Special Factors—Section 6. Certain Information Concerning Parent and Purchaser—Certain Relationships and Related Person Transactions—Prior Stock Purchases.””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78e291430797408cb4efa4a258aeaab1"/>
      <w:bookmarkStart w:id="11" w:name="z78e291430797408cb4efa4a258aeaab1"/>
      <w:bookmarkEnd w:id="11"/>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pPr>
            <w:r>
              <w:rPr/>
            </w:r>
          </w:p>
        </w:tc>
        <w:tc>
          <w:tcPr>
            <w:tcW w:w="239" w:type="dxa"/>
            <w:tcBorders/>
            <w:vAlign w:val="center"/>
          </w:tcPr>
          <w:p>
            <w:pPr>
              <w:pStyle w:val="TableContents"/>
              <w:bidi w:val="0"/>
              <w:spacing w:before="0" w:after="283"/>
              <w:jc w:val="left"/>
              <w:rPr>
                <w:color w:val="000000"/>
              </w:rPr>
            </w:pPr>
            <w:r>
              <w:rPr>
                <w:color w:val="000000"/>
              </w:rPr>
              <w:t>(b)</w:t>
            </w:r>
          </w:p>
        </w:tc>
        <w:tc>
          <w:tcPr>
            <w:tcW w:w="9928" w:type="dxa"/>
            <w:tcBorders/>
            <w:vAlign w:val="center"/>
          </w:tcPr>
          <w:p>
            <w:pPr>
              <w:pStyle w:val="TableContents"/>
              <w:bidi w:val="0"/>
              <w:spacing w:before="0" w:after="0"/>
              <w:jc w:val="left"/>
              <w:rPr>
                <w:color w:val="000000"/>
              </w:rPr>
            </w:pPr>
            <w:r>
              <w:rPr>
                <w:color w:val="000000"/>
              </w:rPr>
              <w:t>The information set forth in “Special Factors—Section 3. Position of Parent and Purchaser Regarding Fairness of the Offer and the Merger” is amended and supplemented by adding the following paragraph following the paragraph starting with “After taking into account all of the factors…”: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color w:val="000000"/>
        </w:rPr>
      </w:pPr>
      <w:r>
        <w:rPr>
          <w:color w:val="000000"/>
        </w:rPr>
        <w:t>“</w:t>
      </w:r>
      <w:r>
        <w:rPr>
          <w:rFonts w:ascii="Times New Roman" w:hAnsi="Times New Roman"/>
          <w:color w:val="000000"/>
          <w:sz w:val="20"/>
        </w:rPr>
        <w:t>The Purchaser Parties did not consider net book value, liquidation value or a specific going concern value as factors because they consider NGM to be a viable going concern business. Parent believed that NGM’s assets were more valuable than the unaffected trading price of the Shares, but that significant new capital would be required to fund the development and growth of these assets which would be difficult to raise in the public markets based on the unaffected trading price of the Shares. Consequently, Parent seeks to operate NGM as a private corporation going forward and has no present intention to liquidate NGM.”</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0dfc747005c24d4d9b7c410a0c199dbc"/>
      <w:bookmarkStart w:id="13" w:name="z0dfc747005c24d4d9b7c410a0c199dbc"/>
      <w:bookmarkEnd w:id="13"/>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color w:val="000000"/>
              </w:rPr>
            </w:pPr>
            <w:r>
              <w:rPr>
                <w:color w:val="000000"/>
              </w:rPr>
              <w:t>(c)</w:t>
            </w:r>
          </w:p>
        </w:tc>
        <w:tc>
          <w:tcPr>
            <w:tcW w:w="9919" w:type="dxa"/>
            <w:tcBorders/>
            <w:vAlign w:val="center"/>
          </w:tcPr>
          <w:p>
            <w:pPr>
              <w:pStyle w:val="TableContents"/>
              <w:bidi w:val="0"/>
              <w:spacing w:before="0" w:after="0"/>
              <w:jc w:val="left"/>
              <w:rPr>
                <w:color w:val="000000"/>
              </w:rPr>
            </w:pPr>
            <w:r>
              <w:rPr>
                <w:color w:val="000000"/>
              </w:rPr>
              <w:t>The information set forth in “Special Factors—Section 5. Price Range of Shares; Dividends” is amended and supplemented by the following information: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olor w:val="000000"/>
        </w:rPr>
      </w:pPr>
      <w:r>
        <w:rPr>
          <w:color w:val="000000"/>
        </w:rPr>
        <w:t>“</w:t>
      </w:r>
      <w:r>
        <w:rPr>
          <w:rFonts w:ascii="Times New Roman" w:hAnsi="Times New Roman"/>
          <w:color w:val="000000"/>
          <w:sz w:val="20"/>
        </w:rPr>
        <w:t>The following table sets forth, for the period indicated, the high and low sales prices per Share on Nasdaq.</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14" w:name="ze1e66b0267fa4040b077eb4b52f72884"/>
      <w:bookmarkStart w:id="15" w:name="ze1e66b0267fa4040b077eb4b52f72884"/>
      <w:bookmarkEnd w:id="15"/>
    </w:p>
    <w:tbl>
      <w:tblPr>
        <w:tblW w:w="5020" w:type="dxa"/>
        <w:jc w:val="left"/>
        <w:tblInd w:w="720" w:type="dxa"/>
        <w:tblLayout w:type="fixed"/>
        <w:tblCellMar>
          <w:top w:w="0" w:type="dxa"/>
          <w:left w:w="0" w:type="dxa"/>
          <w:bottom w:w="28" w:type="dxa"/>
          <w:right w:w="0" w:type="dxa"/>
        </w:tblCellMar>
      </w:tblPr>
      <w:tblGrid>
        <w:gridCol w:w="3620"/>
        <w:gridCol w:w="60"/>
        <w:gridCol w:w="140"/>
        <w:gridCol w:w="440"/>
        <w:gridCol w:w="60"/>
        <w:gridCol w:w="60"/>
        <w:gridCol w:w="140"/>
        <w:gridCol w:w="440"/>
        <w:gridCol w:w="60"/>
      </w:tblGrid>
      <w:tr>
        <w:trPr/>
        <w:tc>
          <w:tcPr>
            <w:tcW w:w="3620" w:type="dxa"/>
            <w:tcBorders>
              <w:bottom w:val="single" w:sz="12" w:space="0" w:color="000000"/>
            </w:tcBorders>
            <w:vAlign w:val="bottom"/>
          </w:tcPr>
          <w:p>
            <w:pPr>
              <w:pStyle w:val="TableContents"/>
              <w:bidi w:val="0"/>
              <w:spacing w:before="0" w:after="0"/>
              <w:jc w:val="left"/>
              <w:rPr>
                <w:b/>
              </w:rPr>
            </w:pPr>
            <w:r>
              <w:rPr>
                <w:b/>
              </w:rPr>
              <w:t>Current Fiscal Year</w:t>
            </w:r>
          </w:p>
        </w:tc>
        <w:tc>
          <w:tcPr>
            <w:tcW w:w="60" w:type="dxa"/>
            <w:tcBorders/>
            <w:tcMar>
              <w:bottom w:w="0" w:type="dxa"/>
            </w:tcMar>
            <w:vAlign w:val="bottom"/>
          </w:tcPr>
          <w:p>
            <w:pPr>
              <w:pStyle w:val="TableContents"/>
              <w:bidi w:val="0"/>
              <w:spacing w:before="0" w:after="283"/>
              <w:jc w:val="left"/>
              <w:rPr/>
            </w:pPr>
            <w:r>
              <w:rPr/>
              <w:t> </w:t>
            </w:r>
          </w:p>
        </w:tc>
        <w:tc>
          <w:tcPr>
            <w:tcW w:w="580" w:type="dxa"/>
            <w:gridSpan w:val="2"/>
            <w:tcBorders>
              <w:bottom w:val="single" w:sz="12" w:space="0" w:color="000000"/>
            </w:tcBorders>
            <w:vAlign w:val="bottom"/>
          </w:tcPr>
          <w:p>
            <w:pPr>
              <w:pStyle w:val="TableContents"/>
              <w:bidi w:val="0"/>
              <w:spacing w:before="0" w:after="0"/>
              <w:jc w:val="center"/>
              <w:rPr>
                <w:b/>
              </w:rPr>
            </w:pPr>
            <w:r>
              <w:rPr>
                <w:b/>
              </w:rPr>
              <w:t>High</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580" w:type="dxa"/>
            <w:gridSpan w:val="2"/>
            <w:tcBorders>
              <w:bottom w:val="single" w:sz="12" w:space="0" w:color="000000"/>
            </w:tcBorders>
            <w:vAlign w:val="bottom"/>
          </w:tcPr>
          <w:p>
            <w:pPr>
              <w:pStyle w:val="TableContents"/>
              <w:bidi w:val="0"/>
              <w:spacing w:before="0" w:after="0"/>
              <w:jc w:val="center"/>
              <w:rPr>
                <w:b/>
              </w:rPr>
            </w:pPr>
            <w:r>
              <w:rPr>
                <w:b/>
              </w:rPr>
              <w:t>Low</w:t>
            </w:r>
          </w:p>
        </w:tc>
        <w:tc>
          <w:tcPr>
            <w:tcW w:w="60" w:type="dxa"/>
            <w:tcBorders/>
            <w:tcMar>
              <w:bottom w:w="0" w:type="dxa"/>
            </w:tcMar>
            <w:vAlign w:val="bottom"/>
          </w:tcPr>
          <w:p>
            <w:pPr>
              <w:pStyle w:val="TableContents"/>
              <w:bidi w:val="0"/>
              <w:spacing w:before="0" w:after="283"/>
              <w:jc w:val="left"/>
              <w:rPr/>
            </w:pPr>
            <w:r>
              <w:rPr/>
              <w:t> </w:t>
            </w:r>
          </w:p>
        </w:tc>
      </w:tr>
      <w:tr>
        <w:trPr/>
        <w:tc>
          <w:tcPr>
            <w:tcW w:w="3620" w:type="dxa"/>
            <w:tcBorders/>
            <w:shd w:fill="CCEEFF" w:val="clear"/>
            <w:tcMar>
              <w:bottom w:w="0" w:type="dxa"/>
            </w:tcMar>
            <w:vAlign w:val="bottom"/>
          </w:tcPr>
          <w:p>
            <w:pPr>
              <w:pStyle w:val="TableContents"/>
              <w:bidi w:val="0"/>
              <w:spacing w:before="0" w:after="0"/>
              <w:ind w:left="216" w:right="0" w:hanging="216"/>
              <w:jc w:val="left"/>
              <w:rPr/>
            </w:pPr>
            <w:r>
              <w:rPr/>
              <w:t>First Quarter (through March 7,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pPr>
            <w:r>
              <w:rPr/>
              <w:t>$</w:t>
            </w:r>
          </w:p>
        </w:tc>
        <w:tc>
          <w:tcPr>
            <w:tcW w:w="440" w:type="dxa"/>
            <w:tcBorders/>
            <w:shd w:fill="CCEEFF" w:val="clear"/>
            <w:tcMar>
              <w:bottom w:w="0" w:type="dxa"/>
            </w:tcMar>
            <w:vAlign w:val="bottom"/>
          </w:tcPr>
          <w:p>
            <w:pPr>
              <w:pStyle w:val="TableContents"/>
              <w:bidi w:val="0"/>
              <w:spacing w:before="0" w:after="0"/>
              <w:jc w:val="right"/>
              <w:rPr/>
            </w:pPr>
            <w:r>
              <w:rPr/>
              <w:t>2.20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pPr>
            <w:r>
              <w:rPr/>
              <w:t>$</w:t>
            </w:r>
          </w:p>
        </w:tc>
        <w:tc>
          <w:tcPr>
            <w:tcW w:w="440" w:type="dxa"/>
            <w:tcBorders/>
            <w:shd w:fill="CCEEFF" w:val="clear"/>
            <w:tcMar>
              <w:bottom w:w="0" w:type="dxa"/>
            </w:tcMar>
            <w:vAlign w:val="bottom"/>
          </w:tcPr>
          <w:p>
            <w:pPr>
              <w:pStyle w:val="TableContents"/>
              <w:bidi w:val="0"/>
              <w:spacing w:before="0" w:after="0"/>
              <w:jc w:val="right"/>
              <w:rPr/>
            </w:pPr>
            <w:r>
              <w:rPr/>
              <w:t>1.01</w:t>
            </w:r>
          </w:p>
        </w:tc>
        <w:tc>
          <w:tcPr>
            <w:tcW w:w="6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ind w:left="720" w:right="0" w:hanging="0"/>
        <w:jc w:val="left"/>
        <w:rPr>
          <w:color w:val="000000"/>
        </w:rPr>
      </w:pPr>
      <w:r>
        <w:rPr>
          <w:color w:val="000000"/>
        </w:rPr>
        <w:t> </w:t>
      </w:r>
    </w:p>
    <w:p>
      <w:pPr>
        <w:pStyle w:val="Normal"/>
        <w:bidi w:val="0"/>
        <w:spacing w:before="0" w:after="0"/>
        <w:jc w:val="left"/>
        <w:rPr>
          <w:sz w:val="4"/>
          <w:szCs w:val="4"/>
        </w:rPr>
      </w:pPr>
      <w:r>
        <w:rPr>
          <w:sz w:val="4"/>
          <w:szCs w:val="4"/>
        </w:rPr>
      </w:r>
      <w:bookmarkStart w:id="16" w:name="z1f74873e6ec7426daf6d95f48254829a"/>
      <w:bookmarkStart w:id="17" w:name="z1f74873e6ec7426daf6d95f48254829a"/>
      <w:bookmarkEnd w:id="17"/>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color w:val="000000"/>
              </w:rPr>
            </w:pPr>
            <w:r>
              <w:rPr>
                <w:color w:val="000000"/>
              </w:rPr>
              <w:t>(d)</w:t>
            </w:r>
          </w:p>
        </w:tc>
        <w:tc>
          <w:tcPr>
            <w:tcW w:w="9927" w:type="dxa"/>
            <w:tcBorders/>
            <w:vAlign w:val="center"/>
          </w:tcPr>
          <w:p>
            <w:pPr>
              <w:pStyle w:val="TableContents"/>
              <w:bidi w:val="0"/>
              <w:spacing w:before="0" w:after="0"/>
              <w:jc w:val="left"/>
              <w:rPr>
                <w:color w:val="000000"/>
              </w:rPr>
            </w:pPr>
            <w:r>
              <w:rPr>
                <w:color w:val="000000"/>
              </w:rPr>
              <w:t>The information set forth in “Special Factors—Section 6. Possible Effects of the Offer on the Market for the Shares; Nasdaq Listing; Exchange Act Registration and Margin Regulations” is amended and supplemented by replacing the first three paragraphs with the following paragraphs: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color w:val="000000"/>
        </w:rPr>
      </w:pPr>
      <w:r>
        <w:rPr>
          <w:color w:val="000000"/>
        </w:rPr>
        <w:t>“</w:t>
      </w:r>
      <w:r>
        <w:rPr>
          <w:rFonts w:ascii="Times New Roman" w:hAnsi="Times New Roman"/>
          <w:b/>
          <w:color w:val="000000"/>
          <w:sz w:val="20"/>
        </w:rPr>
        <w:t>Possible Effects of the Offer on the Market for the Shares; Nasdaq Listing</w:t>
      </w:r>
      <w:r>
        <w:rPr>
          <w:rFonts w:ascii="Times New Roman" w:hAnsi="Times New Roman"/>
          <w:color w:val="000000"/>
          <w:sz w:val="20"/>
        </w:rPr>
        <w:t>. Immediately following consummation of the Offer and satisfaction or waiver (to the extent permitted by applicable law) of the conditions to the Merger, we expect to complete the Merger pursuant to applicable provisions of the DGCL, after which the Surviving Corporation will be a wholly owned subsidiary of Parent, and the Shares will be delisted from Nasdaq and NGM’s obligations to file periodic reports under the Exchange Act will be suspended, and NGM will be privately held. As a result, there will be no market for the Shares if the Offer and Merger are consummated.”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bf263daf41f14623aec0eeaae9cb55b3"/>
      <w:bookmarkStart w:id="19" w:name="zbf263daf41f14623aec0eeaae9cb55b3"/>
      <w:bookmarkEnd w:id="19"/>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color w:val="000000"/>
              </w:rPr>
            </w:pPr>
            <w:r>
              <w:rPr>
                <w:color w:val="000000"/>
              </w:rPr>
              <w:t>(e)</w:t>
            </w:r>
          </w:p>
        </w:tc>
        <w:tc>
          <w:tcPr>
            <w:tcW w:w="9931" w:type="dxa"/>
            <w:tcBorders/>
            <w:vAlign w:val="center"/>
          </w:tcPr>
          <w:p>
            <w:pPr>
              <w:pStyle w:val="TableContents"/>
              <w:bidi w:val="0"/>
              <w:spacing w:before="0" w:after="0"/>
              <w:jc w:val="left"/>
              <w:rPr>
                <w:color w:val="000000"/>
              </w:rPr>
            </w:pPr>
            <w:r>
              <w:rPr>
                <w:color w:val="000000"/>
              </w:rPr>
              <w:t>The information set forth in “The Tender Offer—Section 11. Certain Legal Matters; Regulatory Approvals” is amended and supplemented by replacing the last paragraph with the following paragraphs:</w:t>
            </w:r>
          </w:p>
        </w:tc>
      </w:tr>
    </w:tbl>
    <w:p>
      <w:pPr>
        <w:pStyle w:val="TextBody"/>
        <w:bidi w:val="0"/>
        <w:spacing w:before="0" w:after="0"/>
        <w:jc w:val="left"/>
        <w:rPr>
          <w:color w:val="000000"/>
        </w:rPr>
      </w:pPr>
      <w:r>
        <w:rPr>
          <w:color w:val="000000"/>
        </w:rPr>
        <w:t> </w:t>
      </w:r>
    </w:p>
    <w:p>
      <w:pPr>
        <w:pStyle w:val="TextBody"/>
        <w:bidi w:val="0"/>
        <w:spacing w:before="0" w:after="0"/>
        <w:ind w:left="720" w:right="0" w:firstLine="40"/>
        <w:jc w:val="left"/>
        <w:rPr>
          <w:color w:val="000000"/>
        </w:rPr>
      </w:pPr>
      <w:r>
        <w:rPr>
          <w:color w:val="000000"/>
        </w:rPr>
        <w:t>“</w:t>
      </w:r>
      <w:r>
        <w:rPr>
          <w:rFonts w:ascii="Times New Roman" w:hAnsi="Times New Roman"/>
          <w:b/>
          <w:color w:val="000000"/>
          <w:sz w:val="20"/>
        </w:rPr>
        <w:t>Litigation</w:t>
      </w:r>
      <w:r>
        <w:rPr>
          <w:rFonts w:ascii="Times New Roman" w:hAnsi="Times New Roman"/>
          <w:color w:val="000000"/>
          <w:sz w:val="20"/>
        </w:rPr>
        <w:t>. As of March 22, 2024, NGM has received demand letters from 15 purported stockholders of NGM regarding the Schedule 14D-9 (the “</w:t>
      </w:r>
      <w:r>
        <w:rPr>
          <w:rFonts w:ascii="Times New Roman" w:hAnsi="Times New Roman"/>
          <w:color w:val="000000"/>
          <w:sz w:val="20"/>
          <w:u w:val="single"/>
        </w:rPr>
        <w:t>Demand Letters</w:t>
      </w:r>
      <w:r>
        <w:rPr>
          <w:rFonts w:ascii="Times New Roman" w:hAnsi="Times New Roman"/>
          <w:color w:val="000000"/>
          <w:sz w:val="20"/>
        </w:rPr>
        <w:t>”). The Demand Letters generally allege that the Schedule 14D-9 contains untrue statements of material fact and omits material information in violation of sections 14(d)(4), 14(e), and 20(a) of the Exchange Act, and request that NGM disseminate corrective disclosures.</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Parent and Purchaser understand that NGM cannot predict the outcome of each Demand, nor can NGM predict the amount of time and expense that will be required to resolve each Demand. Parent and Purchaser understand that NGM believes that the current cases are without merit and the disclosures set forth in the Schedule 14D-9 comply fully with all applicable law. Additional lawsuits may be filed against NGM and the NGM Board, and lawsuits may be filed against Parent and Purchaser, in connection with the Offer, the Merger and the related disclosures. Depending on the nature and materiality of the allegations, Parent and Purchaser will not, and understand that NGM will not, necessarily announce such filings.”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c8f1d6828ce14a2386a6a908169cc867"/>
      <w:bookmarkStart w:id="21" w:name="zc8f1d6828ce14a2386a6a908169cc867"/>
      <w:bookmarkEnd w:id="21"/>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color w:val="000000"/>
              </w:rPr>
            </w:pPr>
            <w:r>
              <w:rPr>
                <w:color w:val="000000"/>
              </w:rPr>
              <w:t>(f)</w:t>
            </w:r>
          </w:p>
        </w:tc>
        <w:tc>
          <w:tcPr>
            <w:tcW w:w="9944" w:type="dxa"/>
            <w:tcBorders/>
            <w:vAlign w:val="center"/>
          </w:tcPr>
          <w:p>
            <w:pPr>
              <w:pStyle w:val="TableContents"/>
              <w:bidi w:val="0"/>
              <w:spacing w:before="0" w:after="0"/>
              <w:jc w:val="left"/>
              <w:rPr>
                <w:color w:val="000000"/>
              </w:rPr>
            </w:pPr>
            <w:r>
              <w:rPr>
                <w:color w:val="000000"/>
              </w:rPr>
              <w:t>The information set forth in “The Tender Offer—Section 12. Fees and Expenses” is amended and supplemented by the following information:</w:t>
            </w:r>
          </w:p>
        </w:tc>
      </w:tr>
    </w:tbl>
    <w:p>
      <w:pPr>
        <w:pStyle w:val="TextBody"/>
        <w:bidi w:val="0"/>
        <w:spacing w:before="0" w:after="0"/>
        <w:jc w:val="left"/>
        <w:rPr>
          <w:color w:val="000000"/>
        </w:rPr>
      </w:pPr>
      <w:r>
        <w:rPr>
          <w:color w:val="000000"/>
        </w:rPr>
        <w:t> </w:t>
      </w:r>
    </w:p>
    <w:p>
      <w:pPr>
        <w:pStyle w:val="TextBody"/>
        <w:bidi w:val="0"/>
        <w:spacing w:before="0" w:after="0"/>
        <w:ind w:left="760" w:right="0" w:hanging="0"/>
        <w:jc w:val="left"/>
        <w:rPr>
          <w:color w:val="000000"/>
        </w:rPr>
      </w:pPr>
      <w:bookmarkStart w:id="22" w:name="z_Hlk160654850"/>
      <w:bookmarkEnd w:id="22"/>
      <w:r>
        <w:rPr>
          <w:color w:val="000000"/>
        </w:rPr>
        <w:t>“</w:t>
      </w:r>
      <w:r>
        <w:rPr>
          <w:rFonts w:ascii="Times New Roman" w:hAnsi="Times New Roman"/>
          <w:color w:val="000000"/>
          <w:sz w:val="20"/>
        </w:rPr>
        <w:t>The following is an estimate of fees and expenses to be incurred by Purchaser in connection with the transactions contemplated by the Merger Agreement:</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23" w:name="z6154418eba0447fab62d43bdd36dbd56"/>
      <w:bookmarkStart w:id="24" w:name="z6154418eba0447fab62d43bdd36dbd56"/>
      <w:bookmarkEnd w:id="24"/>
    </w:p>
    <w:tbl>
      <w:tblPr>
        <w:tblW w:w="7650" w:type="dxa"/>
        <w:jc w:val="left"/>
        <w:tblInd w:w="720" w:type="dxa"/>
        <w:tblLayout w:type="fixed"/>
        <w:tblCellMar>
          <w:top w:w="0" w:type="dxa"/>
          <w:left w:w="0" w:type="dxa"/>
          <w:bottom w:w="28" w:type="dxa"/>
          <w:right w:w="0" w:type="dxa"/>
        </w:tblCellMar>
      </w:tblPr>
      <w:tblGrid>
        <w:gridCol w:w="6110"/>
        <w:gridCol w:w="60"/>
        <w:gridCol w:w="140"/>
        <w:gridCol w:w="1280"/>
        <w:gridCol w:w="60"/>
      </w:tblGrid>
      <w:tr>
        <w:trPr/>
        <w:tc>
          <w:tcPr>
            <w:tcW w:w="6110" w:type="dxa"/>
            <w:tcBorders>
              <w:bottom w:val="single" w:sz="12" w:space="0" w:color="000000"/>
            </w:tcBorders>
            <w:vAlign w:val="bottom"/>
          </w:tcPr>
          <w:p>
            <w:pPr>
              <w:pStyle w:val="TableContents"/>
              <w:bidi w:val="0"/>
              <w:spacing w:before="0" w:after="0"/>
              <w:jc w:val="left"/>
              <w:rPr>
                <w:b/>
              </w:rPr>
            </w:pPr>
            <w:r>
              <w:rPr>
                <w:b/>
              </w:rPr>
              <w:t>Typ</w:t>
            </w:r>
            <w:bookmarkStart w:id="25" w:name="c"/>
            <w:bookmarkEnd w:id="25"/>
            <w:r>
              <w:rPr>
                <w:b/>
              </w:rPr>
              <w:t>e of Fee</w:t>
            </w:r>
          </w:p>
        </w:tc>
        <w:tc>
          <w:tcPr>
            <w:tcW w:w="60" w:type="dxa"/>
            <w:tcBorders/>
            <w:tcMar>
              <w:bottom w:w="0" w:type="dxa"/>
            </w:tcMar>
            <w:vAlign w:val="bottom"/>
          </w:tcPr>
          <w:p>
            <w:pPr>
              <w:pStyle w:val="TableContents"/>
              <w:bidi w:val="0"/>
              <w:spacing w:before="0" w:after="283"/>
              <w:jc w:val="left"/>
              <w:rPr/>
            </w:pPr>
            <w:r>
              <w:rPr/>
              <w:t> </w:t>
            </w:r>
          </w:p>
        </w:tc>
        <w:tc>
          <w:tcPr>
            <w:tcW w:w="1420" w:type="dxa"/>
            <w:gridSpan w:val="2"/>
            <w:tcBorders>
              <w:bottom w:val="single" w:sz="12" w:space="0" w:color="000000"/>
            </w:tcBorders>
            <w:vAlign w:val="bottom"/>
          </w:tcPr>
          <w:p>
            <w:pPr>
              <w:pStyle w:val="TableContents"/>
              <w:bidi w:val="0"/>
              <w:spacing w:before="0" w:after="0"/>
              <w:jc w:val="center"/>
              <w:rPr>
                <w:b/>
              </w:rPr>
            </w:pPr>
            <w:r>
              <w:rPr>
                <w:b/>
              </w:rPr>
              <w:t>Amount</w:t>
            </w:r>
          </w:p>
        </w:tc>
        <w:tc>
          <w:tcPr>
            <w:tcW w:w="60" w:type="dxa"/>
            <w:tcBorders/>
            <w:tcMar>
              <w:bottom w:w="0" w:type="dxa"/>
            </w:tcMar>
            <w:vAlign w:val="bottom"/>
          </w:tcPr>
          <w:p>
            <w:pPr>
              <w:pStyle w:val="TableContents"/>
              <w:bidi w:val="0"/>
              <w:spacing w:before="0" w:after="283"/>
              <w:jc w:val="left"/>
              <w:rPr/>
            </w:pPr>
            <w:r>
              <w:rPr/>
              <w:t> </w:t>
            </w:r>
          </w:p>
        </w:tc>
      </w:tr>
      <w:tr>
        <w:trPr/>
        <w:tc>
          <w:tcPr>
            <w:tcW w:w="6110" w:type="dxa"/>
            <w:tcBorders/>
            <w:shd w:fill="CCEEFF" w:val="clear"/>
            <w:tcMar>
              <w:bottom w:w="0" w:type="dxa"/>
            </w:tcMar>
            <w:vAlign w:val="bottom"/>
          </w:tcPr>
          <w:p>
            <w:pPr>
              <w:pStyle w:val="TableContents"/>
              <w:bidi w:val="0"/>
              <w:spacing w:before="0" w:after="0"/>
              <w:ind w:left="180" w:right="0" w:hanging="180"/>
              <w:jc w:val="left"/>
              <w:rPr/>
            </w:pPr>
            <w:r>
              <w:rPr/>
              <w:t>Filing Fees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pPr>
            <w:r>
              <w:rPr/>
              <w:t>$</w:t>
            </w:r>
          </w:p>
        </w:tc>
        <w:tc>
          <w:tcPr>
            <w:tcW w:w="1280" w:type="dxa"/>
            <w:tcBorders/>
            <w:shd w:fill="CCEEFF" w:val="clear"/>
            <w:tcMar>
              <w:bottom w:w="0" w:type="dxa"/>
            </w:tcMar>
            <w:vAlign w:val="bottom"/>
          </w:tcPr>
          <w:p>
            <w:pPr>
              <w:pStyle w:val="TableContents"/>
              <w:bidi w:val="0"/>
              <w:spacing w:before="0" w:after="0"/>
              <w:jc w:val="right"/>
              <w:rPr/>
            </w:pPr>
            <w:r>
              <w:rPr/>
              <w:t>19,969.44</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6110" w:type="dxa"/>
            <w:tcBorders/>
            <w:tcMar>
              <w:bottom w:w="0" w:type="dxa"/>
            </w:tcMar>
            <w:vAlign w:val="bottom"/>
          </w:tcPr>
          <w:p>
            <w:pPr>
              <w:pStyle w:val="TableContents"/>
              <w:bidi w:val="0"/>
              <w:spacing w:lineRule="auto" w:line="240" w:before="0" w:after="0"/>
              <w:ind w:left="180" w:right="0" w:hanging="180"/>
              <w:jc w:val="left"/>
              <w:rPr/>
            </w:pPr>
            <w:r>
              <w:rPr/>
              <w:t>Depositary and Paying Agent(1)</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0"/>
              <w:jc w:val="left"/>
              <w:rPr/>
            </w:pPr>
            <w:r>
              <w:rPr/>
              <w:t>$</w:t>
            </w:r>
          </w:p>
        </w:tc>
        <w:tc>
          <w:tcPr>
            <w:tcW w:w="1280" w:type="dxa"/>
            <w:tcBorders/>
            <w:tcMar>
              <w:bottom w:w="0" w:type="dxa"/>
            </w:tcMar>
            <w:vAlign w:val="bottom"/>
          </w:tcPr>
          <w:p>
            <w:pPr>
              <w:pStyle w:val="TableContents"/>
              <w:bidi w:val="0"/>
              <w:spacing w:before="0" w:after="0"/>
              <w:jc w:val="right"/>
              <w:rPr/>
            </w:pPr>
            <w:r>
              <w:rPr/>
              <w:t>41,500.00</w:t>
            </w:r>
          </w:p>
        </w:tc>
        <w:tc>
          <w:tcPr>
            <w:tcW w:w="60" w:type="dxa"/>
            <w:tcBorders/>
            <w:tcMar>
              <w:bottom w:w="0" w:type="dxa"/>
            </w:tcMar>
            <w:vAlign w:val="bottom"/>
          </w:tcPr>
          <w:p>
            <w:pPr>
              <w:pStyle w:val="TableContents"/>
              <w:bidi w:val="0"/>
              <w:spacing w:before="0" w:after="283"/>
              <w:jc w:val="left"/>
              <w:rPr/>
            </w:pPr>
            <w:r>
              <w:rPr/>
              <w:t> </w:t>
            </w:r>
          </w:p>
        </w:tc>
      </w:tr>
      <w:tr>
        <w:trPr/>
        <w:tc>
          <w:tcPr>
            <w:tcW w:w="6110" w:type="dxa"/>
            <w:tcBorders/>
            <w:shd w:fill="CCEEFF" w:val="clear"/>
            <w:tcMar>
              <w:bottom w:w="0" w:type="dxa"/>
            </w:tcMar>
            <w:vAlign w:val="bottom"/>
          </w:tcPr>
          <w:p>
            <w:pPr>
              <w:pStyle w:val="TableContents"/>
              <w:bidi w:val="0"/>
              <w:spacing w:lineRule="auto" w:line="240" w:before="0" w:after="0"/>
              <w:ind w:left="180" w:right="0" w:hanging="180"/>
              <w:jc w:val="left"/>
              <w:rPr/>
            </w:pPr>
            <w:r>
              <w:rPr/>
              <w:t>Information Agent (including mailing and advertisement cost)(2)</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shd w:fill="CCEEFF" w:val="clear"/>
            <w:tcMar>
              <w:bottom w:w="0" w:type="dxa"/>
            </w:tcMar>
            <w:vAlign w:val="bottom"/>
          </w:tcPr>
          <w:p>
            <w:pPr>
              <w:pStyle w:val="TableContents"/>
              <w:bidi w:val="0"/>
              <w:spacing w:before="0" w:after="0"/>
              <w:jc w:val="left"/>
              <w:rPr/>
            </w:pPr>
            <w:r>
              <w:rPr/>
              <w:t>$</w:t>
            </w:r>
          </w:p>
        </w:tc>
        <w:tc>
          <w:tcPr>
            <w:tcW w:w="1280" w:type="dxa"/>
            <w:tcBorders/>
            <w:shd w:fill="CCEEFF" w:val="clear"/>
            <w:tcMar>
              <w:bottom w:w="0" w:type="dxa"/>
            </w:tcMar>
            <w:vAlign w:val="bottom"/>
          </w:tcPr>
          <w:p>
            <w:pPr>
              <w:pStyle w:val="TableContents"/>
              <w:bidi w:val="0"/>
              <w:spacing w:before="0" w:after="0"/>
              <w:jc w:val="right"/>
              <w:rPr/>
            </w:pPr>
            <w:r>
              <w:rPr/>
              <w:t>37,500.00</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6110" w:type="dxa"/>
            <w:tcBorders/>
            <w:tcMar>
              <w:bottom w:w="0" w:type="dxa"/>
            </w:tcMar>
            <w:vAlign w:val="bottom"/>
          </w:tcPr>
          <w:p>
            <w:pPr>
              <w:pStyle w:val="TableContents"/>
              <w:bidi w:val="0"/>
              <w:spacing w:before="0" w:after="0"/>
              <w:ind w:left="180" w:right="0" w:hanging="180"/>
              <w:jc w:val="left"/>
              <w:rPr/>
            </w:pPr>
            <w:r>
              <w:rPr/>
              <w:t>Legal fees and expenses</w:t>
            </w:r>
          </w:p>
        </w:tc>
        <w:tc>
          <w:tcPr>
            <w:tcW w:w="60" w:type="dxa"/>
            <w:tcBorders/>
            <w:tcMar>
              <w:bottom w:w="0" w:type="dxa"/>
            </w:tcMar>
            <w:vAlign w:val="bottom"/>
          </w:tcPr>
          <w:p>
            <w:pPr>
              <w:pStyle w:val="TableContents"/>
              <w:bidi w:val="0"/>
              <w:spacing w:before="0" w:after="283"/>
              <w:jc w:val="left"/>
              <w:rPr/>
            </w:pPr>
            <w:r>
              <w:rPr/>
              <w:t> </w:t>
            </w:r>
          </w:p>
        </w:tc>
        <w:tc>
          <w:tcPr>
            <w:tcW w:w="140" w:type="dxa"/>
            <w:tcBorders/>
            <w:tcMar>
              <w:bottom w:w="0" w:type="dxa"/>
            </w:tcMar>
            <w:vAlign w:val="bottom"/>
          </w:tcPr>
          <w:p>
            <w:pPr>
              <w:pStyle w:val="TableContents"/>
              <w:bidi w:val="0"/>
              <w:spacing w:before="0" w:after="0"/>
              <w:jc w:val="left"/>
              <w:rPr/>
            </w:pPr>
            <w:r>
              <w:rPr/>
              <w:t>$</w:t>
            </w:r>
          </w:p>
        </w:tc>
        <w:tc>
          <w:tcPr>
            <w:tcW w:w="1280" w:type="dxa"/>
            <w:tcBorders/>
            <w:tcMar>
              <w:bottom w:w="0" w:type="dxa"/>
            </w:tcMar>
            <w:vAlign w:val="bottom"/>
          </w:tcPr>
          <w:p>
            <w:pPr>
              <w:pStyle w:val="TableContents"/>
              <w:bidi w:val="0"/>
              <w:spacing w:before="0" w:after="0"/>
              <w:jc w:val="right"/>
              <w:rPr/>
            </w:pPr>
            <w:r>
              <w:rPr/>
              <w:t>2,500,000.00</w:t>
            </w:r>
          </w:p>
        </w:tc>
        <w:tc>
          <w:tcPr>
            <w:tcW w:w="60" w:type="dxa"/>
            <w:tcBorders/>
            <w:tcMar>
              <w:bottom w:w="0" w:type="dxa"/>
            </w:tcMar>
            <w:vAlign w:val="bottom"/>
          </w:tcPr>
          <w:p>
            <w:pPr>
              <w:pStyle w:val="TableContents"/>
              <w:bidi w:val="0"/>
              <w:spacing w:before="0" w:after="283"/>
              <w:jc w:val="left"/>
              <w:rPr/>
            </w:pPr>
            <w:r>
              <w:rPr/>
              <w:t> </w:t>
            </w:r>
          </w:p>
        </w:tc>
      </w:tr>
      <w:tr>
        <w:trPr/>
        <w:tc>
          <w:tcPr>
            <w:tcW w:w="6110" w:type="dxa"/>
            <w:tcBorders/>
            <w:shd w:fill="CCEEFF" w:val="clear"/>
            <w:tcMar>
              <w:bottom w:w="0" w:type="dxa"/>
            </w:tcMar>
            <w:vAlign w:val="bottom"/>
          </w:tcPr>
          <w:p>
            <w:pPr>
              <w:pStyle w:val="TableContents"/>
              <w:bidi w:val="0"/>
              <w:spacing w:before="0" w:after="0"/>
              <w:ind w:left="180" w:right="0" w:hanging="180"/>
              <w:jc w:val="left"/>
              <w:rPr/>
            </w:pPr>
            <w:r>
              <w:rPr/>
              <w:t>Printing and other</w:t>
            </w:r>
          </w:p>
        </w:tc>
        <w:tc>
          <w:tcPr>
            <w:tcW w:w="60" w:type="dxa"/>
            <w:tcBorders/>
            <w:shd w:fill="CCEEFF" w:val="clear"/>
            <w:tcMar>
              <w:bottom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vAlign w:val="bottom"/>
          </w:tcPr>
          <w:p>
            <w:pPr>
              <w:pStyle w:val="TableContents"/>
              <w:bidi w:val="0"/>
              <w:spacing w:before="0" w:after="0"/>
              <w:jc w:val="left"/>
              <w:rPr/>
            </w:pPr>
            <w:r>
              <w:rPr/>
              <w:t>$</w:t>
            </w:r>
          </w:p>
        </w:tc>
        <w:tc>
          <w:tcPr>
            <w:tcW w:w="1280" w:type="dxa"/>
            <w:tcBorders>
              <w:bottom w:val="single" w:sz="12" w:space="0" w:color="000000"/>
            </w:tcBorders>
            <w:shd w:fill="CCEEFF" w:val="clear"/>
            <w:vAlign w:val="bottom"/>
          </w:tcPr>
          <w:p>
            <w:pPr>
              <w:pStyle w:val="TableContents"/>
              <w:bidi w:val="0"/>
              <w:spacing w:before="0" w:after="0"/>
              <w:jc w:val="right"/>
              <w:rPr/>
            </w:pPr>
            <w:r>
              <w:rPr/>
              <w:t>15,000.00</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6110" w:type="dxa"/>
            <w:tcBorders/>
            <w:tcMar>
              <w:bottom w:w="0" w:type="dxa"/>
            </w:tcMar>
            <w:vAlign w:val="bottom"/>
          </w:tcPr>
          <w:p>
            <w:pPr>
              <w:pStyle w:val="TableContents"/>
              <w:bidi w:val="0"/>
              <w:spacing w:before="0" w:after="0"/>
              <w:ind w:left="360" w:right="0" w:hanging="180"/>
              <w:jc w:val="left"/>
              <w:rPr/>
            </w:pPr>
            <w:r>
              <w:rPr/>
              <w:t>Total</w:t>
            </w:r>
          </w:p>
        </w:tc>
        <w:tc>
          <w:tcPr>
            <w:tcW w:w="60" w:type="dxa"/>
            <w:tcBorders/>
            <w:tcMar>
              <w:bottom w:w="0" w:type="dxa"/>
            </w:tcMar>
            <w:vAlign w:val="bottom"/>
          </w:tcPr>
          <w:p>
            <w:pPr>
              <w:pStyle w:val="TableContents"/>
              <w:bidi w:val="0"/>
              <w:spacing w:before="0" w:after="283"/>
              <w:jc w:val="left"/>
              <w:rPr/>
            </w:pPr>
            <w:r>
              <w:rPr/>
              <w:t> </w:t>
            </w:r>
          </w:p>
        </w:tc>
        <w:tc>
          <w:tcPr>
            <w:tcW w:w="140" w:type="dxa"/>
            <w:tcBorders>
              <w:bottom w:val="double" w:sz="8" w:space="0" w:color="000000"/>
            </w:tcBorders>
            <w:vAlign w:val="bottom"/>
          </w:tcPr>
          <w:p>
            <w:pPr>
              <w:pStyle w:val="TableContents"/>
              <w:bidi w:val="0"/>
              <w:spacing w:before="0" w:after="0"/>
              <w:jc w:val="left"/>
              <w:rPr>
                <w:b/>
              </w:rPr>
            </w:pPr>
            <w:r>
              <w:rPr>
                <w:b/>
              </w:rPr>
              <w:t>$</w:t>
            </w:r>
          </w:p>
        </w:tc>
        <w:tc>
          <w:tcPr>
            <w:tcW w:w="1280" w:type="dxa"/>
            <w:tcBorders>
              <w:bottom w:val="double" w:sz="8" w:space="0" w:color="000000"/>
            </w:tcBorders>
            <w:vAlign w:val="bottom"/>
          </w:tcPr>
          <w:p>
            <w:pPr>
              <w:pStyle w:val="TableContents"/>
              <w:bidi w:val="0"/>
              <w:spacing w:before="0" w:after="0"/>
              <w:jc w:val="right"/>
              <w:rPr>
                <w:b/>
              </w:rPr>
            </w:pPr>
            <w:r>
              <w:rPr>
                <w:b/>
              </w:rPr>
              <w:t>2,613,969.44</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ind w:left="720" w:right="0" w:hanging="0"/>
        <w:jc w:val="left"/>
        <w:rPr/>
      </w:pPr>
      <w:r>
        <w:rPr/>
      </w:r>
    </w:p>
    <w:p>
      <w:pPr>
        <w:pStyle w:val="TextBody"/>
        <w:bidi w:val="0"/>
        <w:spacing w:before="0" w:after="0"/>
        <w:ind w:left="760" w:right="0" w:hanging="0"/>
        <w:jc w:val="left"/>
        <w:rPr>
          <w:rFonts w:ascii="Times New Roman" w:hAnsi="Times New Roman"/>
          <w:color w:val="000000"/>
          <w:sz w:val="20"/>
        </w:rPr>
      </w:pPr>
      <w:r>
        <w:rPr>
          <w:rFonts w:ascii="Times New Roman" w:hAnsi="Times New Roman"/>
          <w:color w:val="000000"/>
          <w:sz w:val="20"/>
        </w:rPr>
        <w:t>(1) Purchaser will pay an additional $3,500 to the Depositary and Paying Agent following each extension of the Offer (if any). Purchaser will also reimburse the Depositary and Paying Agent for certain reasonable and documented out-of-pocket fees and expenses.</w:t>
      </w:r>
    </w:p>
    <w:p>
      <w:pPr>
        <w:pStyle w:val="TextBody"/>
        <w:bidi w:val="0"/>
        <w:spacing w:before="0" w:after="0"/>
        <w:jc w:val="left"/>
        <w:rPr>
          <w:color w:val="000000"/>
        </w:rPr>
      </w:pPr>
      <w:r>
        <w:rPr>
          <w:color w:val="000000"/>
        </w:rPr>
        <w:t> </w:t>
      </w:r>
    </w:p>
    <w:p>
      <w:pPr>
        <w:pStyle w:val="TextBody"/>
        <w:bidi w:val="0"/>
        <w:spacing w:before="0" w:after="0"/>
        <w:ind w:left="760" w:right="0" w:hanging="0"/>
        <w:jc w:val="left"/>
        <w:rPr>
          <w:rFonts w:ascii="Times New Roman" w:hAnsi="Times New Roman"/>
          <w:color w:val="000000"/>
          <w:sz w:val="20"/>
        </w:rPr>
      </w:pPr>
      <w:r>
        <w:rPr>
          <w:rFonts w:ascii="Times New Roman" w:hAnsi="Times New Roman"/>
          <w:color w:val="000000"/>
          <w:sz w:val="20"/>
        </w:rPr>
        <w:t>(2) The fee paid to the Information Agent will be reduced to $25,000 if the Transactions are not consummated. Purchaser will also reimburse the Information Agent for certain reasonable and documented out-of-pocket fees and expenses.”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color w:val="000000"/>
        </w:rPr>
      </w:pPr>
      <w:r>
        <w:rPr>
          <w:color w:val="000000"/>
        </w:rPr>
        <w:t> </w:t>
      </w:r>
    </w:p>
    <w:p>
      <w:pPr>
        <w:pStyle w:val="TextBody"/>
        <w:bidi w:val="0"/>
        <w:spacing w:before="0" w:after="0"/>
        <w:ind w:left="0" w:right="0" w:firstLine="400"/>
        <w:jc w:val="left"/>
        <w:rPr>
          <w:rFonts w:ascii="Times New Roman" w:hAnsi="Times New Roman"/>
          <w:color w:val="000000"/>
          <w:sz w:val="20"/>
        </w:rPr>
      </w:pPr>
      <w:r>
        <w:rPr>
          <w:rFonts w:ascii="Times New Roman" w:hAnsi="Times New Roman"/>
          <w:color w:val="000000"/>
          <w:sz w:val="20"/>
        </w:rPr>
        <w:t>After due inquiry and to the best of my knowledge and belief, I certify that the information set forth in this statement is true, complete and correct.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Dated: March 22, 2024</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26" w:name="z1c0f06f9e1ff44c195300eee8989c310"/>
      <w:bookmarkStart w:id="27" w:name="z1c0f06f9e1ff44c195300eee8989c310"/>
      <w:bookmarkEnd w:id="27"/>
    </w:p>
    <w:tbl>
      <w:tblPr>
        <w:tblW w:w="3994" w:type="dxa"/>
        <w:jc w:val="left"/>
        <w:tblInd w:w="0" w:type="dxa"/>
        <w:tblLayout w:type="fixed"/>
        <w:tblCellMar>
          <w:top w:w="0" w:type="dxa"/>
          <w:left w:w="0" w:type="dxa"/>
          <w:bottom w:w="0" w:type="dxa"/>
          <w:right w:w="0" w:type="dxa"/>
        </w:tblCellMar>
      </w:tblPr>
      <w:tblGrid>
        <w:gridCol w:w="60"/>
        <w:gridCol w:w="885"/>
        <w:gridCol w:w="3049"/>
      </w:tblGrid>
      <w:tr>
        <w:trPr/>
        <w:tc>
          <w:tcPr>
            <w:tcW w:w="60"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0"/>
              <w:jc w:val="left"/>
              <w:rPr>
                <w:b/>
              </w:rPr>
            </w:pPr>
            <w:r>
              <w:rPr>
                <w:b/>
              </w:rPr>
              <w:t>ATLAS NEON MERGER SUB, INC.</w:t>
            </w:r>
          </w:p>
        </w:tc>
      </w:tr>
      <w:tr>
        <w:trPr/>
        <w:tc>
          <w:tcPr>
            <w:tcW w:w="60" w:type="dxa"/>
            <w:tcBorders/>
            <w:vAlign w:val="center"/>
          </w:tcPr>
          <w:p>
            <w:pPr>
              <w:pStyle w:val="TableContents"/>
              <w:bidi w:val="0"/>
              <w:spacing w:before="0" w:after="283"/>
              <w:jc w:val="left"/>
              <w:rPr/>
            </w:pPr>
            <w:r>
              <w:rPr/>
              <w:t> </w:t>
            </w:r>
          </w:p>
        </w:tc>
        <w:tc>
          <w:tcPr>
            <w:tcW w:w="393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0"/>
              <w:jc w:val="left"/>
              <w:rPr/>
            </w:pPr>
            <w:r>
              <w:rPr/>
              <w:t>By:</w:t>
            </w:r>
          </w:p>
        </w:tc>
        <w:tc>
          <w:tcPr>
            <w:tcW w:w="3049"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6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0"/>
              <w:jc w:val="left"/>
              <w:rPr/>
            </w:pPr>
            <w:r>
              <w:rPr/>
              <w:t>Name:</w:t>
            </w:r>
          </w:p>
        </w:tc>
        <w:tc>
          <w:tcPr>
            <w:tcW w:w="3049" w:type="dxa"/>
            <w:tcBorders/>
            <w:vAlign w:val="center"/>
          </w:tcPr>
          <w:p>
            <w:pPr>
              <w:pStyle w:val="TableContents"/>
              <w:bidi w:val="0"/>
              <w:spacing w:before="0" w:after="0"/>
              <w:jc w:val="left"/>
              <w:rPr/>
            </w:pPr>
            <w:r>
              <w:rPr/>
              <w:t>Peter Svennilson</w:t>
            </w:r>
          </w:p>
        </w:tc>
      </w:tr>
      <w:tr>
        <w:trPr/>
        <w:tc>
          <w:tcPr>
            <w:tcW w:w="6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0"/>
              <w:jc w:val="left"/>
              <w:rPr/>
            </w:pPr>
            <w:r>
              <w:rPr/>
              <w:t>Title:</w:t>
            </w:r>
          </w:p>
        </w:tc>
        <w:tc>
          <w:tcPr>
            <w:tcW w:w="3049" w:type="dxa"/>
            <w:tcBorders/>
            <w:vAlign w:val="center"/>
          </w:tcPr>
          <w:p>
            <w:pPr>
              <w:pStyle w:val="TableContents"/>
              <w:bidi w:val="0"/>
              <w:spacing w:before="0" w:after="0"/>
              <w:jc w:val="left"/>
              <w:rPr/>
            </w:pPr>
            <w:r>
              <w:rPr/>
              <w:t>President and Secretary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fb00fbdc13d64833b9b6005eb59c9b96"/>
      <w:bookmarkStart w:id="29" w:name="zfb00fbdc13d64833b9b6005eb59c9b96"/>
      <w:bookmarkEnd w:id="29"/>
    </w:p>
    <w:tbl>
      <w:tblPr>
        <w:tblW w:w="3544" w:type="dxa"/>
        <w:jc w:val="left"/>
        <w:tblInd w:w="0" w:type="dxa"/>
        <w:tblLayout w:type="fixed"/>
        <w:tblCellMar>
          <w:top w:w="0" w:type="dxa"/>
          <w:left w:w="0" w:type="dxa"/>
          <w:bottom w:w="0" w:type="dxa"/>
          <w:right w:w="0" w:type="dxa"/>
        </w:tblCellMar>
      </w:tblPr>
      <w:tblGrid>
        <w:gridCol w:w="75"/>
        <w:gridCol w:w="675"/>
        <w:gridCol w:w="2794"/>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0"/>
              <w:jc w:val="left"/>
              <w:rPr>
                <w:b/>
              </w:rPr>
            </w:pPr>
            <w:r>
              <w:rPr>
                <w:b/>
              </w:rPr>
              <w:t>ATLAS NEON PARENT, INC</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27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279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279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2794" w:type="dxa"/>
            <w:tcBorders/>
            <w:vAlign w:val="center"/>
          </w:tcPr>
          <w:p>
            <w:pPr>
              <w:pStyle w:val="TableContents"/>
              <w:bidi w:val="0"/>
              <w:spacing w:before="0" w:after="0"/>
              <w:jc w:val="left"/>
              <w:rPr/>
            </w:pPr>
            <w:r>
              <w:rPr/>
              <w:t>President and Secretary</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27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0"/>
              <w:jc w:val="left"/>
              <w:rPr>
                <w:b/>
              </w:rPr>
            </w:pPr>
            <w:r>
              <w:rPr>
                <w:b/>
              </w:rPr>
              <w:t>THE COLUMN GROUP, LP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27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2794" w:type="dxa"/>
            <w:tcBorders/>
            <w:vAlign w:val="center"/>
          </w:tcPr>
          <w:p>
            <w:pPr>
              <w:pStyle w:val="TableContents"/>
              <w:bidi w:val="0"/>
              <w:spacing w:before="0" w:after="0"/>
              <w:jc w:val="left"/>
              <w:rPr>
                <w:color w:val="000000"/>
              </w:rPr>
            </w:pPr>
            <w:r>
              <w:rPr>
                <w:color w:val="000000"/>
              </w:rPr>
              <w:t>The Column Group GP, LP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27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279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279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2794"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27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0"/>
              <w:jc w:val="left"/>
              <w:rPr>
                <w:b/>
              </w:rPr>
            </w:pPr>
            <w:r>
              <w:rPr>
                <w:b/>
              </w:rPr>
              <w:t>THE COLUMN GROUP GP, LP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27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279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279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2794"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472ad61788644320b106d096ef1177fc"/>
      <w:bookmarkStart w:id="31" w:name="z472ad61788644320b106d096ef1177fc"/>
      <w:bookmarkEnd w:id="31"/>
    </w:p>
    <w:tbl>
      <w:tblPr>
        <w:tblW w:w="3625" w:type="dxa"/>
        <w:jc w:val="left"/>
        <w:tblInd w:w="0" w:type="dxa"/>
        <w:tblLayout w:type="fixed"/>
        <w:tblCellMar>
          <w:top w:w="0" w:type="dxa"/>
          <w:left w:w="0" w:type="dxa"/>
          <w:bottom w:w="0" w:type="dxa"/>
          <w:right w:w="0" w:type="dxa"/>
        </w:tblCellMar>
      </w:tblPr>
      <w:tblGrid>
        <w:gridCol w:w="75"/>
        <w:gridCol w:w="650"/>
        <w:gridCol w:w="2900"/>
      </w:tblGrid>
      <w:tr>
        <w:trPr/>
        <w:tc>
          <w:tcPr>
            <w:tcW w:w="75"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0"/>
              <w:jc w:val="left"/>
              <w:rPr>
                <w:b/>
              </w:rPr>
            </w:pPr>
            <w:r>
              <w:rPr>
                <w:b/>
              </w:rPr>
              <w:t>THE COLUMN GROUP II, LP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900" w:type="dxa"/>
            <w:tcBorders/>
            <w:vAlign w:val="center"/>
          </w:tcPr>
          <w:p>
            <w:pPr>
              <w:pStyle w:val="TableContents"/>
              <w:bidi w:val="0"/>
              <w:spacing w:before="0" w:after="0"/>
              <w:jc w:val="left"/>
              <w:rPr>
                <w:color w:val="000000"/>
              </w:rPr>
            </w:pPr>
            <w:r>
              <w:rPr>
                <w:color w:val="000000"/>
              </w:rPr>
              <w:t>The Column Group II GP, LP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900"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900"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900"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tbl>
      <w:tblPr>
        <w:tblW w:w="3784" w:type="dxa"/>
        <w:jc w:val="left"/>
        <w:tblInd w:w="0" w:type="dxa"/>
        <w:tblLayout w:type="fixed"/>
        <w:tblCellMar>
          <w:top w:w="0" w:type="dxa"/>
          <w:left w:w="0" w:type="dxa"/>
          <w:bottom w:w="0" w:type="dxa"/>
          <w:right w:w="0" w:type="dxa"/>
        </w:tblCellMar>
      </w:tblPr>
      <w:tblGrid>
        <w:gridCol w:w="75"/>
        <w:gridCol w:w="947"/>
        <w:gridCol w:w="2762"/>
      </w:tblGrid>
      <w:tr>
        <w:trPr/>
        <w:tc>
          <w:tcPr>
            <w:tcW w:w="7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0"/>
              <w:jc w:val="left"/>
              <w:rPr>
                <w:b/>
              </w:rPr>
            </w:pPr>
            <w:r>
              <w:rPr>
                <w:b/>
              </w:rPr>
              <w:t>THE COLUMN GROUP II GP, LP</w:t>
            </w:r>
          </w:p>
        </w:tc>
      </w:tr>
      <w:tr>
        <w:trPr/>
        <w:tc>
          <w:tcPr>
            <w:tcW w:w="75"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0"/>
              <w:jc w:val="left"/>
              <w:rPr/>
            </w:pPr>
            <w:r>
              <w:rPr/>
              <w:t>By:</w:t>
            </w:r>
          </w:p>
        </w:tc>
        <w:tc>
          <w:tcPr>
            <w:tcW w:w="2762"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0"/>
              <w:jc w:val="left"/>
              <w:rPr/>
            </w:pPr>
            <w:r>
              <w:rPr/>
              <w:t>Name:</w:t>
            </w:r>
          </w:p>
        </w:tc>
        <w:tc>
          <w:tcPr>
            <w:tcW w:w="2762"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0"/>
              <w:jc w:val="left"/>
              <w:rPr/>
            </w:pPr>
            <w:r>
              <w:rPr/>
              <w:t>Title:</w:t>
            </w:r>
          </w:p>
        </w:tc>
        <w:tc>
          <w:tcPr>
            <w:tcW w:w="2762"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a8d3ed8c01734c579788a1b6d1b83411"/>
      <w:bookmarkStart w:id="33" w:name="za8d3ed8c01734c579788a1b6d1b83411"/>
      <w:bookmarkEnd w:id="33"/>
    </w:p>
    <w:tbl>
      <w:tblPr>
        <w:tblW w:w="5059" w:type="dxa"/>
        <w:jc w:val="left"/>
        <w:tblInd w:w="0" w:type="dxa"/>
        <w:tblLayout w:type="fixed"/>
        <w:tblCellMar>
          <w:top w:w="0" w:type="dxa"/>
          <w:left w:w="0" w:type="dxa"/>
          <w:bottom w:w="0" w:type="dxa"/>
          <w:right w:w="0" w:type="dxa"/>
        </w:tblCellMar>
      </w:tblPr>
      <w:tblGrid>
        <w:gridCol w:w="75"/>
        <w:gridCol w:w="1273"/>
        <w:gridCol w:w="3711"/>
      </w:tblGrid>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0"/>
              <w:jc w:val="left"/>
              <w:rPr>
                <w:b/>
              </w:rPr>
            </w:pPr>
            <w:r>
              <w:rPr>
                <w:b/>
              </w:rPr>
              <w:t>THE COLUMN GROUP MANAGEMENT, LP</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left"/>
              <w:rPr/>
            </w:pPr>
            <w:r>
              <w:rPr/>
              <w:t> </w:t>
            </w:r>
          </w:p>
        </w:tc>
        <w:tc>
          <w:tcPr>
            <w:tcW w:w="37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0"/>
              <w:jc w:val="left"/>
              <w:rPr/>
            </w:pPr>
            <w:r>
              <w:rPr/>
              <w:t>By:</w:t>
            </w:r>
          </w:p>
        </w:tc>
        <w:tc>
          <w:tcPr>
            <w:tcW w:w="3711"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0"/>
              <w:jc w:val="left"/>
              <w:rPr/>
            </w:pPr>
            <w:r>
              <w:rPr/>
              <w:t>Name:</w:t>
            </w:r>
          </w:p>
        </w:tc>
        <w:tc>
          <w:tcPr>
            <w:tcW w:w="3711"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0"/>
              <w:jc w:val="left"/>
              <w:rPr/>
            </w:pPr>
            <w:r>
              <w:rPr/>
              <w:t>Title:</w:t>
            </w:r>
          </w:p>
        </w:tc>
        <w:tc>
          <w:tcPr>
            <w:tcW w:w="3711"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5573a3fc841742a98826797022dfdbbb"/>
      <w:bookmarkStart w:id="35" w:name="z5573a3fc841742a98826797022dfdbbb"/>
      <w:bookmarkEnd w:id="35"/>
    </w:p>
    <w:tbl>
      <w:tblPr>
        <w:tblW w:w="3664" w:type="dxa"/>
        <w:jc w:val="left"/>
        <w:tblInd w:w="0" w:type="dxa"/>
        <w:tblLayout w:type="fixed"/>
        <w:tblCellMar>
          <w:top w:w="0" w:type="dxa"/>
          <w:left w:w="0" w:type="dxa"/>
          <w:bottom w:w="0" w:type="dxa"/>
          <w:right w:w="0" w:type="dxa"/>
        </w:tblCellMar>
      </w:tblPr>
      <w:tblGrid>
        <w:gridCol w:w="75"/>
        <w:gridCol w:w="701"/>
        <w:gridCol w:w="2888"/>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jc w:val="left"/>
              <w:rPr>
                <w:b/>
              </w:rPr>
            </w:pPr>
            <w:r>
              <w:rPr>
                <w:b/>
              </w:rPr>
              <w:t>PONOI CAPITAL, LP</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By:</w:t>
            </w:r>
          </w:p>
        </w:tc>
        <w:tc>
          <w:tcPr>
            <w:tcW w:w="2888" w:type="dxa"/>
            <w:tcBorders/>
            <w:vAlign w:val="center"/>
          </w:tcPr>
          <w:p>
            <w:pPr>
              <w:pStyle w:val="TableContents"/>
              <w:bidi w:val="0"/>
              <w:spacing w:before="0" w:after="0"/>
              <w:jc w:val="left"/>
              <w:rPr>
                <w:color w:val="000000"/>
              </w:rPr>
            </w:pPr>
            <w:r>
              <w:rPr>
                <w:color w:val="000000"/>
              </w:rPr>
              <w:t>Ponoi Management, LLC</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By:</w:t>
            </w:r>
          </w:p>
        </w:tc>
        <w:tc>
          <w:tcPr>
            <w:tcW w:w="2888"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Name:</w:t>
            </w:r>
          </w:p>
        </w:tc>
        <w:tc>
          <w:tcPr>
            <w:tcW w:w="2888"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Title:</w:t>
            </w:r>
          </w:p>
        </w:tc>
        <w:tc>
          <w:tcPr>
            <w:tcW w:w="2888"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jc w:val="left"/>
              <w:rPr>
                <w:b/>
              </w:rPr>
            </w:pPr>
            <w:r>
              <w:rPr>
                <w:b/>
              </w:rPr>
              <w:t>PONOI MANAGEMENT, LLC</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By:</w:t>
            </w:r>
          </w:p>
        </w:tc>
        <w:tc>
          <w:tcPr>
            <w:tcW w:w="2888"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Name:</w:t>
            </w:r>
          </w:p>
        </w:tc>
        <w:tc>
          <w:tcPr>
            <w:tcW w:w="2888"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Title:</w:t>
            </w:r>
          </w:p>
        </w:tc>
        <w:tc>
          <w:tcPr>
            <w:tcW w:w="2888"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jc w:val="left"/>
              <w:rPr>
                <w:b/>
              </w:rPr>
            </w:pPr>
            <w:r>
              <w:rPr>
                <w:b/>
              </w:rPr>
              <w:t>PONOI CAPITAL II, LP</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By:</w:t>
            </w:r>
          </w:p>
        </w:tc>
        <w:tc>
          <w:tcPr>
            <w:tcW w:w="2888" w:type="dxa"/>
            <w:tcBorders/>
            <w:vAlign w:val="center"/>
          </w:tcPr>
          <w:p>
            <w:pPr>
              <w:pStyle w:val="TableContents"/>
              <w:bidi w:val="0"/>
              <w:spacing w:before="0" w:after="0"/>
              <w:jc w:val="left"/>
              <w:rPr>
                <w:color w:val="000000"/>
              </w:rPr>
            </w:pPr>
            <w:r>
              <w:rPr>
                <w:color w:val="000000"/>
              </w:rPr>
              <w:t>Ponoi II Management, LLC</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By:</w:t>
            </w:r>
          </w:p>
        </w:tc>
        <w:tc>
          <w:tcPr>
            <w:tcW w:w="2888"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Name:</w:t>
            </w:r>
          </w:p>
        </w:tc>
        <w:tc>
          <w:tcPr>
            <w:tcW w:w="2888"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Title:</w:t>
            </w:r>
          </w:p>
        </w:tc>
        <w:tc>
          <w:tcPr>
            <w:tcW w:w="2888"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jc w:val="left"/>
              <w:rPr>
                <w:b/>
              </w:rPr>
            </w:pPr>
            <w:r>
              <w:rPr>
                <w:b/>
              </w:rPr>
              <w:t>PONOI II MANAGEMENT, LLC</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left"/>
              <w:rPr/>
            </w:pPr>
            <w:r>
              <w:rPr/>
              <w:t> </w:t>
            </w:r>
          </w:p>
        </w:tc>
        <w:tc>
          <w:tcPr>
            <w:tcW w:w="28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By:</w:t>
            </w:r>
          </w:p>
        </w:tc>
        <w:tc>
          <w:tcPr>
            <w:tcW w:w="2888"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Name:</w:t>
            </w:r>
          </w:p>
        </w:tc>
        <w:tc>
          <w:tcPr>
            <w:tcW w:w="2888"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0"/>
              <w:jc w:val="left"/>
              <w:rPr/>
            </w:pPr>
            <w:r>
              <w:rPr/>
              <w:t>Title:</w:t>
            </w:r>
          </w:p>
        </w:tc>
        <w:tc>
          <w:tcPr>
            <w:tcW w:w="2888"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 w:name="z6aca5c6e549441d484d6e8ad26ab7467"/>
      <w:bookmarkStart w:id="37" w:name="z6aca5c6e549441d484d6e8ad26ab7467"/>
      <w:bookmarkEnd w:id="37"/>
    </w:p>
    <w:tbl>
      <w:tblPr>
        <w:tblW w:w="3874" w:type="dxa"/>
        <w:jc w:val="left"/>
        <w:tblInd w:w="0" w:type="dxa"/>
        <w:tblLayout w:type="fixed"/>
        <w:tblCellMar>
          <w:top w:w="0" w:type="dxa"/>
          <w:left w:w="0" w:type="dxa"/>
          <w:bottom w:w="0" w:type="dxa"/>
          <w:right w:w="0" w:type="dxa"/>
        </w:tblCellMar>
      </w:tblPr>
      <w:tblGrid>
        <w:gridCol w:w="75"/>
        <w:gridCol w:w="675"/>
        <w:gridCol w:w="3124"/>
      </w:tblGrid>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0"/>
              <w:jc w:val="left"/>
              <w:rPr>
                <w:b/>
              </w:rPr>
            </w:pPr>
            <w:r>
              <w:rPr>
                <w:b/>
              </w:rPr>
              <w:t>THE COLUMN GROUP III GP, LP</w:t>
            </w:r>
          </w:p>
        </w:tc>
      </w:tr>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312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3124"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0"/>
              <w:jc w:val="left"/>
              <w:rPr>
                <w:b/>
              </w:rPr>
            </w:pPr>
            <w:r>
              <w:rPr>
                <w:b/>
              </w:rPr>
              <w:t>THE COLUMN GROUP III, LP</w:t>
            </w:r>
          </w:p>
        </w:tc>
      </w:tr>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vAlign w:val="center"/>
          </w:tcPr>
          <w:p>
            <w:pPr>
              <w:pStyle w:val="TableContents"/>
              <w:bidi w:val="0"/>
              <w:spacing w:before="0" w:after="0"/>
              <w:jc w:val="left"/>
              <w:rPr/>
            </w:pPr>
            <w:r>
              <w:rPr/>
              <w:t>The Column Group III, GP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312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3124"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0"/>
              <w:jc w:val="left"/>
              <w:rPr>
                <w:b/>
              </w:rPr>
            </w:pPr>
            <w:r>
              <w:rPr>
                <w:b/>
              </w:rPr>
              <w:t>THE COLUMN GROUP III-A, LP</w:t>
            </w:r>
          </w:p>
        </w:tc>
      </w:tr>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vAlign w:val="center"/>
          </w:tcPr>
          <w:p>
            <w:pPr>
              <w:pStyle w:val="TableContents"/>
              <w:bidi w:val="0"/>
              <w:spacing w:before="0" w:after="0"/>
              <w:jc w:val="left"/>
              <w:rPr/>
            </w:pPr>
            <w:r>
              <w:rPr/>
              <w:t>The Column Group III, GP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312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3124"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9" w:type="dxa"/>
            <w:gridSpan w:val="2"/>
            <w:tcBorders/>
            <w:vAlign w:val="center"/>
          </w:tcPr>
          <w:p>
            <w:pPr>
              <w:pStyle w:val="TableContents"/>
              <w:bidi w:val="0"/>
              <w:spacing w:before="0" w:after="0"/>
              <w:jc w:val="left"/>
              <w:rPr>
                <w:b/>
              </w:rPr>
            </w:pPr>
            <w:r>
              <w:rPr>
                <w:b/>
              </w:rPr>
              <w:t>THE COLUMN GROUP IV, LP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vAlign w:val="center"/>
          </w:tcPr>
          <w:p>
            <w:pPr>
              <w:pStyle w:val="TableContents"/>
              <w:bidi w:val="0"/>
              <w:spacing w:before="0" w:after="0"/>
              <w:jc w:val="left"/>
              <w:rPr/>
            </w:pPr>
            <w:r>
              <w:rPr/>
              <w:t>The Column Group IV GP, LP</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vAlign w:val="center"/>
          </w:tcPr>
          <w:p>
            <w:pPr>
              <w:pStyle w:val="TableContents"/>
              <w:bidi w:val="0"/>
              <w:spacing w:before="0" w:after="0"/>
              <w:jc w:val="left"/>
              <w:rPr/>
            </w:pPr>
            <w:r>
              <w:rPr/>
              <w:t>TCG IV GP, LLC</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By:</w:t>
            </w:r>
          </w:p>
        </w:tc>
        <w:tc>
          <w:tcPr>
            <w:tcW w:w="3124"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Name:</w:t>
            </w:r>
          </w:p>
        </w:tc>
        <w:tc>
          <w:tcPr>
            <w:tcW w:w="3124"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0"/>
              <w:jc w:val="left"/>
              <w:rPr/>
            </w:pPr>
            <w:r>
              <w:rPr/>
              <w:t>Title:</w:t>
            </w:r>
          </w:p>
        </w:tc>
        <w:tc>
          <w:tcPr>
            <w:tcW w:w="3124"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f86ef90adb5e4a2ea82e432614b3e673"/>
      <w:bookmarkStart w:id="39" w:name="zf86ef90adb5e4a2ea82e432614b3e673"/>
      <w:bookmarkEnd w:id="39"/>
    </w:p>
    <w:tbl>
      <w:tblPr>
        <w:tblW w:w="5344" w:type="dxa"/>
        <w:jc w:val="left"/>
        <w:tblInd w:w="0" w:type="dxa"/>
        <w:tblLayout w:type="fixed"/>
        <w:tblCellMar>
          <w:top w:w="0" w:type="dxa"/>
          <w:left w:w="0" w:type="dxa"/>
          <w:bottom w:w="0" w:type="dxa"/>
          <w:right w:w="0" w:type="dxa"/>
        </w:tblCellMar>
      </w:tblPr>
      <w:tblGrid>
        <w:gridCol w:w="75"/>
        <w:gridCol w:w="707"/>
        <w:gridCol w:w="4562"/>
      </w:tblGrid>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0"/>
              <w:jc w:val="left"/>
              <w:rPr>
                <w:b/>
              </w:rPr>
            </w:pPr>
            <w:r>
              <w:rPr>
                <w:b/>
              </w:rPr>
              <w:t>THE COLUMN GROUP IV-A, LP</w:t>
            </w:r>
          </w:p>
        </w:tc>
      </w:tr>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vAlign w:val="center"/>
          </w:tcPr>
          <w:p>
            <w:pPr>
              <w:pStyle w:val="TableContents"/>
              <w:bidi w:val="0"/>
              <w:spacing w:before="0" w:after="0"/>
              <w:jc w:val="left"/>
              <w:rPr/>
            </w:pPr>
            <w:r>
              <w:rPr/>
              <w:t>The Column Group IV GP, LP</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vAlign w:val="center"/>
          </w:tcPr>
          <w:p>
            <w:pPr>
              <w:pStyle w:val="TableContents"/>
              <w:bidi w:val="0"/>
              <w:spacing w:before="0" w:after="0"/>
              <w:jc w:val="left"/>
              <w:rPr/>
            </w:pPr>
            <w:r>
              <w:rPr/>
              <w:t>TCG IV GP, LLC</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Name:</w:t>
            </w:r>
          </w:p>
        </w:tc>
        <w:tc>
          <w:tcPr>
            <w:tcW w:w="4562"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Title:</w:t>
            </w:r>
          </w:p>
        </w:tc>
        <w:tc>
          <w:tcPr>
            <w:tcW w:w="4562"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0"/>
              <w:jc w:val="left"/>
              <w:rPr>
                <w:b/>
              </w:rPr>
            </w:pPr>
            <w:r>
              <w:rPr>
                <w:b/>
              </w:rPr>
              <w:t>THE COLUMN GROUP IV GP, LP</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vAlign w:val="center"/>
          </w:tcPr>
          <w:p>
            <w:pPr>
              <w:pStyle w:val="TableContents"/>
              <w:bidi w:val="0"/>
              <w:spacing w:before="0" w:after="0"/>
              <w:jc w:val="left"/>
              <w:rPr>
                <w:color w:val="000000"/>
              </w:rPr>
            </w:pPr>
            <w:r>
              <w:rPr>
                <w:color w:val="000000"/>
              </w:rPr>
              <w:t>TCG IV GP, LLC</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Name:</w:t>
            </w:r>
          </w:p>
        </w:tc>
        <w:tc>
          <w:tcPr>
            <w:tcW w:w="4562"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Title:</w:t>
            </w:r>
          </w:p>
        </w:tc>
        <w:tc>
          <w:tcPr>
            <w:tcW w:w="4562"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0"/>
              <w:jc w:val="left"/>
              <w:rPr>
                <w:b/>
              </w:rPr>
            </w:pPr>
            <w:r>
              <w:rPr>
                <w:b/>
              </w:rPr>
              <w:t>TCG IV GP, LLC</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Name:</w:t>
            </w:r>
          </w:p>
        </w:tc>
        <w:tc>
          <w:tcPr>
            <w:tcW w:w="4562"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Title:</w:t>
            </w:r>
          </w:p>
        </w:tc>
        <w:tc>
          <w:tcPr>
            <w:tcW w:w="4562"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0"/>
              <w:jc w:val="left"/>
              <w:rPr>
                <w:b/>
              </w:rPr>
            </w:pPr>
            <w:r>
              <w:rPr>
                <w:b/>
              </w:rPr>
              <w:t>THE COLUMN GROUP OPPORTUNITY III, LP</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vAlign w:val="center"/>
          </w:tcPr>
          <w:p>
            <w:pPr>
              <w:pStyle w:val="TableContents"/>
              <w:bidi w:val="0"/>
              <w:spacing w:before="0" w:after="0"/>
              <w:jc w:val="left"/>
              <w:rPr/>
            </w:pPr>
            <w:r>
              <w:rPr/>
              <w:t>The Column Group Opportunity III GP, LP</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vAlign w:val="center"/>
          </w:tcPr>
          <w:p>
            <w:pPr>
              <w:pStyle w:val="TableContents"/>
              <w:bidi w:val="0"/>
              <w:spacing w:before="0" w:after="0"/>
              <w:jc w:val="left"/>
              <w:rPr/>
            </w:pPr>
            <w:r>
              <w:rPr/>
              <w:t>TCG Opportunity III GP, LLC</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45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By:</w:t>
            </w:r>
          </w:p>
        </w:tc>
        <w:tc>
          <w:tcPr>
            <w:tcW w:w="4562"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Name:</w:t>
            </w:r>
          </w:p>
        </w:tc>
        <w:tc>
          <w:tcPr>
            <w:tcW w:w="4562"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0"/>
              <w:jc w:val="left"/>
              <w:rPr/>
            </w:pPr>
            <w:r>
              <w:rPr/>
              <w:t>Title:</w:t>
            </w:r>
          </w:p>
        </w:tc>
        <w:tc>
          <w:tcPr>
            <w:tcW w:w="4562" w:type="dxa"/>
            <w:tcBorders/>
            <w:vAlign w:val="center"/>
          </w:tcPr>
          <w:p>
            <w:pPr>
              <w:pStyle w:val="TableContents"/>
              <w:bidi w:val="0"/>
              <w:spacing w:before="0" w:after="0"/>
              <w:jc w:val="left"/>
              <w:rPr/>
            </w:pPr>
            <w:r>
              <w:rPr/>
              <w:t>Managing Partner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0" w:name="z87470ee0a24a404790c61b7059b6d667"/>
      <w:bookmarkStart w:id="41" w:name="z87470ee0a24a404790c61b7059b6d667"/>
      <w:bookmarkEnd w:id="41"/>
    </w:p>
    <w:tbl>
      <w:tblPr>
        <w:tblW w:w="5734" w:type="dxa"/>
        <w:jc w:val="left"/>
        <w:tblInd w:w="0" w:type="dxa"/>
        <w:tblLayout w:type="fixed"/>
        <w:tblCellMar>
          <w:top w:w="0" w:type="dxa"/>
          <w:left w:w="0" w:type="dxa"/>
          <w:bottom w:w="0" w:type="dxa"/>
          <w:right w:w="0" w:type="dxa"/>
        </w:tblCellMar>
      </w:tblPr>
      <w:tblGrid>
        <w:gridCol w:w="75"/>
        <w:gridCol w:w="1010"/>
        <w:gridCol w:w="4649"/>
      </w:tblGrid>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0"/>
              <w:jc w:val="left"/>
              <w:rPr>
                <w:b/>
              </w:rPr>
            </w:pPr>
            <w:r>
              <w:rPr>
                <w:b/>
              </w:rPr>
              <w:t>THE COLUMN GROUP OPPORTUNITY III GP, LP</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By:</w:t>
            </w:r>
          </w:p>
        </w:tc>
        <w:tc>
          <w:tcPr>
            <w:tcW w:w="4649" w:type="dxa"/>
            <w:tcBorders/>
            <w:vAlign w:val="center"/>
          </w:tcPr>
          <w:p>
            <w:pPr>
              <w:pStyle w:val="TableContents"/>
              <w:bidi w:val="0"/>
              <w:spacing w:before="0" w:after="0"/>
              <w:jc w:val="left"/>
              <w:rPr/>
            </w:pPr>
            <w:r>
              <w:rPr/>
              <w:t>TCG Opportunity III GP, LLC</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By:</w:t>
            </w:r>
          </w:p>
        </w:tc>
        <w:tc>
          <w:tcPr>
            <w:tcW w:w="4649"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Name:</w:t>
            </w:r>
          </w:p>
        </w:tc>
        <w:tc>
          <w:tcPr>
            <w:tcW w:w="4649"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Title:</w:t>
            </w:r>
          </w:p>
        </w:tc>
        <w:tc>
          <w:tcPr>
            <w:tcW w:w="4649"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0"/>
              <w:jc w:val="left"/>
              <w:rPr>
                <w:b/>
              </w:rPr>
            </w:pPr>
            <w:r>
              <w:rPr>
                <w:b/>
              </w:rPr>
              <w:t>TCG OPPORTUNITY III GP, LLC</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By:</w:t>
            </w:r>
          </w:p>
        </w:tc>
        <w:tc>
          <w:tcPr>
            <w:tcW w:w="4649"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Name:</w:t>
            </w:r>
          </w:p>
        </w:tc>
        <w:tc>
          <w:tcPr>
            <w:tcW w:w="4649" w:type="dxa"/>
            <w:tcBorders/>
            <w:vAlign w:val="center"/>
          </w:tcPr>
          <w:p>
            <w:pPr>
              <w:pStyle w:val="TableContents"/>
              <w:bidi w:val="0"/>
              <w:spacing w:before="0" w:after="0"/>
              <w:jc w:val="left"/>
              <w:rPr/>
            </w:pPr>
            <w:r>
              <w:rPr/>
              <w:t>Peter Svennilson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Title:</w:t>
            </w:r>
          </w:p>
        </w:tc>
        <w:tc>
          <w:tcPr>
            <w:tcW w:w="4649" w:type="dxa"/>
            <w:tcBorders/>
            <w:vAlign w:val="center"/>
          </w:tcPr>
          <w:p>
            <w:pPr>
              <w:pStyle w:val="TableContents"/>
              <w:bidi w:val="0"/>
              <w:spacing w:before="0" w:after="0"/>
              <w:jc w:val="left"/>
              <w:rPr/>
            </w:pPr>
            <w:r>
              <w:rPr/>
              <w:t>Managing Partner</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0"/>
              <w:jc w:val="left"/>
              <w:rPr>
                <w:b/>
              </w:rPr>
            </w:pPr>
            <w:r>
              <w:rPr>
                <w:b/>
              </w:rPr>
              <w:t>TIMOTHY KUTZKEY</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By:</w:t>
            </w:r>
          </w:p>
        </w:tc>
        <w:tc>
          <w:tcPr>
            <w:tcW w:w="4649" w:type="dxa"/>
            <w:tcBorders>
              <w:bottom w:val="single" w:sz="12" w:space="0" w:color="000000"/>
            </w:tcBorders>
            <w:tcMar>
              <w:bottom w:w="28" w:type="dxa"/>
            </w:tcMar>
            <w:vAlign w:val="center"/>
          </w:tcPr>
          <w:p>
            <w:pPr>
              <w:pStyle w:val="TableContents"/>
              <w:bidi w:val="0"/>
              <w:spacing w:before="0" w:after="0"/>
              <w:jc w:val="left"/>
              <w:rPr/>
            </w:pPr>
            <w:r>
              <w:rPr/>
              <w:t>/s/ Timothy Kutzkey</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0"/>
              <w:jc w:val="left"/>
              <w:rPr>
                <w:b/>
              </w:rPr>
            </w:pPr>
            <w:r>
              <w:rPr>
                <w:b/>
              </w:rPr>
              <w:t>PETER SVENNILSON</w:t>
            </w:r>
          </w:p>
        </w:tc>
      </w:tr>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By:</w:t>
            </w:r>
          </w:p>
        </w:tc>
        <w:tc>
          <w:tcPr>
            <w:tcW w:w="4649" w:type="dxa"/>
            <w:tcBorders>
              <w:bottom w:val="single" w:sz="12" w:space="0" w:color="000000"/>
            </w:tcBorders>
            <w:tcMar>
              <w:bottom w:w="28" w:type="dxa"/>
            </w:tcMar>
            <w:vAlign w:val="center"/>
          </w:tcPr>
          <w:p>
            <w:pPr>
              <w:pStyle w:val="TableContents"/>
              <w:bidi w:val="0"/>
              <w:spacing w:before="0" w:after="0"/>
              <w:jc w:val="left"/>
              <w:rPr/>
            </w:pPr>
            <w:r>
              <w:rPr/>
              <w:t>/s/ Peter Svennilson</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0"/>
              <w:jc w:val="left"/>
              <w:rPr>
                <w:b/>
              </w:rPr>
            </w:pPr>
            <w:r>
              <w:rPr>
                <w:b/>
              </w:rPr>
              <w:t>DAVID V. GOEDDEL</w:t>
            </w:r>
          </w:p>
        </w:tc>
      </w:tr>
      <w:tr>
        <w:trPr/>
        <w:tc>
          <w:tcPr>
            <w:tcW w:w="75" w:type="dxa"/>
            <w:tcBorders/>
            <w:vAlign w:val="center"/>
          </w:tcPr>
          <w:p>
            <w:pPr>
              <w:pStyle w:val="TableContents"/>
              <w:bidi w:val="0"/>
              <w:spacing w:before="0" w:after="283"/>
              <w:jc w:val="left"/>
              <w:rPr/>
            </w:pPr>
            <w:r>
              <w:rPr/>
              <w:t> </w:t>
            </w:r>
          </w:p>
        </w:tc>
        <w:tc>
          <w:tcPr>
            <w:tcW w:w="56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jc w:val="left"/>
              <w:rPr/>
            </w:pPr>
            <w:r>
              <w:rPr/>
              <w:t>By:</w:t>
            </w:r>
          </w:p>
        </w:tc>
        <w:tc>
          <w:tcPr>
            <w:tcW w:w="4649" w:type="dxa"/>
            <w:tcBorders>
              <w:bottom w:val="single" w:sz="12" w:space="0" w:color="000000"/>
            </w:tcBorders>
            <w:tcMar>
              <w:bottom w:w="28" w:type="dxa"/>
            </w:tcMar>
            <w:vAlign w:val="center"/>
          </w:tcPr>
          <w:p>
            <w:pPr>
              <w:pStyle w:val="TableContents"/>
              <w:bidi w:val="0"/>
              <w:spacing w:before="0" w:after="0"/>
              <w:jc w:val="left"/>
              <w:rPr/>
            </w:pPr>
            <w:r>
              <w:rPr/>
              <w:t>/s/ David V. Goeddel</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2226</Words>
  <Characters>11770</Characters>
  <CharactersWithSpaces>14007</CharactersWithSpaces>
  <Paragraphs>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