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8020"/>
        <w:spacing w:after="0"/>
        <w:rPr>
          <w:sz w:val="20"/>
          <w:szCs w:val="20"/>
          <w:color w:val="auto"/>
        </w:rPr>
      </w:pPr>
      <w:r>
        <w:rPr>
          <w:rFonts w:ascii="Arial" w:cs="Arial" w:eastAsia="Arial" w:hAnsi="Arial"/>
          <w:sz w:val="18"/>
          <w:szCs w:val="18"/>
          <w:b w:val="1"/>
          <w:bCs w:val="1"/>
          <w:color w:val="auto"/>
        </w:rPr>
        <w:t>Filed Pursuant to Rule 424(b)(1)</w:t>
      </w:r>
    </w:p>
    <w:p>
      <w:pPr>
        <w:spacing w:after="0" w:line="18" w:lineRule="exact"/>
        <w:rPr>
          <w:sz w:val="24"/>
          <w:szCs w:val="24"/>
          <w:color w:val="auto"/>
        </w:rPr>
      </w:pPr>
    </w:p>
    <w:p>
      <w:pPr>
        <w:ind w:left="8020"/>
        <w:spacing w:after="0"/>
        <w:rPr>
          <w:sz w:val="20"/>
          <w:szCs w:val="20"/>
          <w:color w:val="auto"/>
        </w:rPr>
      </w:pPr>
      <w:r>
        <w:rPr>
          <w:rFonts w:ascii="Arial" w:cs="Arial" w:eastAsia="Arial" w:hAnsi="Arial"/>
          <w:sz w:val="18"/>
          <w:szCs w:val="18"/>
          <w:b w:val="1"/>
          <w:bCs w:val="1"/>
          <w:color w:val="auto"/>
        </w:rPr>
        <w:t>Registration No. 333-227608</w:t>
      </w:r>
    </w:p>
    <w:p>
      <w:pPr>
        <w:spacing w:after="0" w:line="147"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6,666,667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159385</wp:posOffset>
            </wp:positionV>
            <wp:extent cx="2272665" cy="1243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72665" cy="1243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219710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This is an initial public offering of shares of common stock of NGM Biopharmaceuticals, Inc. All of the 6,666,667 shares of common stock are being sold by us.</w:t>
      </w:r>
    </w:p>
    <w:p>
      <w:pPr>
        <w:spacing w:after="0" w:line="156" w:lineRule="exact"/>
        <w:rPr>
          <w:sz w:val="24"/>
          <w:szCs w:val="24"/>
          <w:color w:val="auto"/>
        </w:rPr>
      </w:pPr>
    </w:p>
    <w:p>
      <w:pPr>
        <w:ind w:left="760" w:right="360"/>
        <w:spacing w:after="0" w:line="446"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per share is $16.00. Our common stock has been approved for listing on the Nasdaq Global Select Market under the symbol “NGM.”</w:t>
      </w:r>
    </w:p>
    <w:p>
      <w:pPr>
        <w:spacing w:after="0" w:line="1" w:lineRule="exact"/>
        <w:rPr>
          <w:sz w:val="24"/>
          <w:szCs w:val="24"/>
          <w:color w:val="auto"/>
        </w:rPr>
      </w:pPr>
    </w:p>
    <w:p>
      <w:pPr>
        <w:ind w:left="200" w:right="480" w:firstLine="551"/>
        <w:spacing w:after="0" w:line="24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w:t>
      </w:r>
    </w:p>
    <w:p>
      <w:pPr>
        <w:spacing w:after="0" w:line="138" w:lineRule="exact"/>
        <w:rPr>
          <w:sz w:val="24"/>
          <w:szCs w:val="24"/>
          <w:color w:val="auto"/>
        </w:rPr>
      </w:pPr>
    </w:p>
    <w:p>
      <w:pPr>
        <w:ind w:left="200" w:right="260" w:firstLine="551"/>
        <w:spacing w:after="0" w:line="267"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See “</w:t>
      </w:r>
      <w:hyperlink w:anchor="page14">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12 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182880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200" w:right="60" w:firstLine="551"/>
        <w:spacing w:after="0" w:line="302"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8"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8"/>
              </w:rPr>
              <w:t>Per Share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16.00</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106,666,672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2760" w:type="dxa"/>
            <w:vAlign w:val="bottom"/>
            <w:gridSpan w:val="2"/>
          </w:tcPr>
          <w:p>
            <w:pPr>
              <w:ind w:left="25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7,466,667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2760" w:type="dxa"/>
            <w:vAlign w:val="bottom"/>
            <w:gridSpan w:val="2"/>
            <w:shd w:val="clear" w:color="auto" w:fill="CCEEFF"/>
          </w:tcPr>
          <w:p>
            <w:pPr>
              <w:ind w:left="25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14.88</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99,200,005</w:t>
            </w:r>
          </w:p>
        </w:tc>
        <w:tc>
          <w:tcPr>
            <w:tcW w:w="60" w:type="dxa"/>
            <w:vAlign w:val="bottom"/>
            <w:shd w:val="clear" w:color="auto" w:fill="CCEEFF"/>
          </w:tcPr>
          <w:p>
            <w:pPr>
              <w:spacing w:after="0"/>
              <w:rPr>
                <w:sz w:val="17"/>
                <w:szCs w:val="17"/>
                <w:color w:val="auto"/>
              </w:rPr>
            </w:pPr>
          </w:p>
        </w:tc>
      </w:tr>
    </w:tbl>
    <w:p>
      <w:pPr>
        <w:spacing w:after="0" w:line="121" w:lineRule="exact"/>
        <w:rPr>
          <w:sz w:val="24"/>
          <w:szCs w:val="24"/>
          <w:color w:val="auto"/>
        </w:rPr>
      </w:pPr>
    </w:p>
    <w:p>
      <w:pPr>
        <w:ind w:left="740" w:hanging="536"/>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“Underwriting” beginning on page 203 for additional information regarding total underwriting compensation.</w:t>
      </w:r>
    </w:p>
    <w:p>
      <w:pPr>
        <w:spacing w:after="0" w:line="171" w:lineRule="exact"/>
        <w:rPr>
          <w:sz w:val="24"/>
          <w:szCs w:val="24"/>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We have granted the underwriters an option to purchase up to an additional 1,000,000 shares at the initial public offering price less the underwriting discounts and commissions.</w:t>
      </w:r>
    </w:p>
    <w:p>
      <w:pPr>
        <w:spacing w:after="0" w:line="156" w:lineRule="exact"/>
        <w:rPr>
          <w:sz w:val="24"/>
          <w:szCs w:val="24"/>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Merck Sharp &amp; Dohme Corp., a strategic collaborator and existing stockholder, has agreed to purchase 4,121,683 shares of our common stock in a separate private placement concurrent with the completion of this offering at a price of $16.00 per share. The sale of such shares will not be registered under the Securities Act of 1933, as amended. The completion of this offering is not contingent upon the completion of such concurrent private placement.</w:t>
      </w:r>
    </w:p>
    <w:p>
      <w:pPr>
        <w:spacing w:after="0" w:line="175" w:lineRule="exact"/>
        <w:rPr>
          <w:sz w:val="24"/>
          <w:szCs w:val="24"/>
          <w:color w:val="auto"/>
        </w:rPr>
      </w:pPr>
    </w:p>
    <w:p>
      <w:pPr>
        <w:ind w:left="200" w:right="40" w:firstLine="551"/>
        <w:spacing w:after="0"/>
        <w:rPr>
          <w:sz w:val="20"/>
          <w:szCs w:val="20"/>
          <w:color w:val="auto"/>
        </w:rPr>
      </w:pPr>
      <w:r>
        <w:rPr>
          <w:rFonts w:ascii="Arial" w:cs="Arial" w:eastAsia="Arial" w:hAnsi="Arial"/>
          <w:sz w:val="18"/>
          <w:szCs w:val="18"/>
          <w:color w:val="auto"/>
        </w:rPr>
        <w:t>In addition, entities affiliated with The Column Group, an existing stockholder, have agreed to purchase 1,875,000 shares of our common stock in this offering at the initial public offering price. The underwriters will receive the same underwriting discount on any shares purchased by these entities as they will on any other shares sold to the public in this offering.</w:t>
      </w:r>
    </w:p>
    <w:p>
      <w:pPr>
        <w:spacing w:after="0" w:line="162" w:lineRule="exact"/>
        <w:rPr>
          <w:sz w:val="24"/>
          <w:szCs w:val="24"/>
          <w:color w:val="auto"/>
        </w:rPr>
      </w:pPr>
    </w:p>
    <w:p>
      <w:pPr>
        <w:ind w:left="760"/>
        <w:spacing w:after="0"/>
        <w:rPr>
          <w:sz w:val="20"/>
          <w:szCs w:val="20"/>
          <w:color w:val="auto"/>
        </w:rPr>
      </w:pPr>
      <w:r>
        <w:rPr>
          <w:rFonts w:ascii="Arial" w:cs="Arial" w:eastAsia="Arial" w:hAnsi="Arial"/>
          <w:sz w:val="18"/>
          <w:szCs w:val="18"/>
          <w:color w:val="auto"/>
        </w:rPr>
        <w:t>The underwriters expect to deliver the shares against payment in New York, New York on April 8, 2019.</w:t>
      </w:r>
    </w:p>
    <w:p>
      <w:pPr>
        <w:spacing w:after="0" w:line="182" w:lineRule="exact"/>
        <w:rPr>
          <w:sz w:val="24"/>
          <w:szCs w:val="24"/>
          <w:color w:val="auto"/>
        </w:rPr>
      </w:pPr>
    </w:p>
    <w:p>
      <w:pPr>
        <w:ind w:left="200"/>
        <w:spacing w:after="0"/>
        <w:tabs>
          <w:tab w:leader="none" w:pos="6800" w:val="left"/>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Cowen</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Prospectus dated April 3, 2019</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0" w:type="dxa"/>
            <w:vAlign w:val="bottom"/>
            <w:gridSpan w:val="3"/>
          </w:tcPr>
          <w:p>
            <w:pPr>
              <w:ind w:left="14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0620" w:type="dxa"/>
            <w:vAlign w:val="bottom"/>
            <w:gridSpan w:val="2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10620" w:type="dxa"/>
            <w:vAlign w:val="bottom"/>
            <w:gridSpan w:val="24"/>
            <w:vMerge w:val="continue"/>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900" w:type="dxa"/>
            <w:vAlign w:val="bottom"/>
            <w:gridSpan w:val="1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Special Note Regarding Forward-Looking Statements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42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Industry and Market Data</w:t>
              </w:r>
            </w:hyperlink>
          </w:p>
        </w:tc>
        <w:tc>
          <w:tcPr>
            <w:tcW w:w="6360" w:type="dxa"/>
            <w:vAlign w:val="bottom"/>
            <w:gridSpan w:val="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13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Use of Proceeds</w:t>
              </w:r>
            </w:hyperlink>
          </w:p>
        </w:tc>
        <w:tc>
          <w:tcPr>
            <w:tcW w:w="680" w:type="dxa"/>
            <w:vAlign w:val="bottom"/>
            <w:tcBorders>
              <w:top w:val="single" w:sz="8" w:color="0000EE"/>
            </w:tcBorders>
            <w:gridSpan w:val="3"/>
          </w:tcPr>
          <w:p>
            <w:pPr>
              <w:spacing w:after="0"/>
              <w:rPr>
                <w:sz w:val="15"/>
                <w:szCs w:val="15"/>
                <w:color w:val="auto"/>
              </w:rPr>
            </w:pPr>
          </w:p>
        </w:tc>
        <w:tc>
          <w:tcPr>
            <w:tcW w:w="8600" w:type="dxa"/>
            <w:vAlign w:val="bottom"/>
            <w:gridSpan w:val="11"/>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Dividend Policy</w:t>
              </w:r>
            </w:hyperlink>
          </w:p>
        </w:tc>
        <w:tc>
          <w:tcPr>
            <w:tcW w:w="9380" w:type="dxa"/>
            <w:vAlign w:val="bottom"/>
            <w:gridSpan w:val="1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Capitalization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Dilution</w:t>
              </w:r>
            </w:hyperlink>
          </w:p>
        </w:tc>
        <w:tc>
          <w:tcPr>
            <w:tcW w:w="9540" w:type="dxa"/>
            <w:vAlign w:val="bottom"/>
            <w:gridSpan w:val="1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Selected Consolidated Financial Data</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95">
              <w:r>
                <w:rPr>
                  <w:rFonts w:ascii="Arial" w:cs="Arial" w:eastAsia="Arial" w:hAnsi="Arial"/>
                  <w:sz w:val="18"/>
                  <w:szCs w:val="18"/>
                  <w:color w:val="0000EE"/>
                  <w:w w:val="98"/>
                </w:rPr>
                <w:t>Business</w:t>
              </w:r>
            </w:hyperlink>
          </w:p>
        </w:tc>
        <w:tc>
          <w:tcPr>
            <w:tcW w:w="6340" w:type="dxa"/>
            <w:vAlign w:val="bottom"/>
            <w:tcBorders>
              <w:top w:val="single" w:sz="8" w:color="0000EE"/>
            </w:tcBorders>
            <w:gridSpan w:val="19"/>
          </w:tcPr>
          <w:p>
            <w:pPr>
              <w:spacing w:after="0"/>
              <w:rPr>
                <w:sz w:val="15"/>
                <w:szCs w:val="15"/>
                <w:color w:val="auto"/>
              </w:rPr>
            </w:pPr>
          </w:p>
        </w:tc>
        <w:tc>
          <w:tcPr>
            <w:tcW w:w="3540" w:type="dxa"/>
            <w:vAlign w:val="bottom"/>
            <w:gridSpan w:val="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10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65">
              <w:r>
                <w:rPr>
                  <w:rFonts w:ascii="Arial" w:cs="Arial" w:eastAsia="Arial" w:hAnsi="Arial"/>
                  <w:sz w:val="18"/>
                  <w:szCs w:val="18"/>
                  <w:color w:val="0000EE"/>
                  <w:w w:val="98"/>
                </w:rPr>
                <w:t>Management</w:t>
              </w:r>
            </w:hyperlink>
          </w:p>
        </w:tc>
        <w:tc>
          <w:tcPr>
            <w:tcW w:w="9560" w:type="dxa"/>
            <w:vAlign w:val="bottom"/>
            <w:gridSpan w:val="1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Executive and Director Compensation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Certain Relationships and Related Person Transactions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83"/>
        </w:trPr>
        <w:tc>
          <w:tcPr>
            <w:tcW w:w="44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89">
              <w:r>
                <w:rPr>
                  <w:rFonts w:ascii="Arial" w:cs="Arial" w:eastAsia="Arial" w:hAnsi="Arial"/>
                  <w:sz w:val="18"/>
                  <w:szCs w:val="18"/>
                  <w:color w:val="0000EE"/>
                </w:rPr>
                <w:t>Principal Stockholders</w:t>
              </w:r>
            </w:hyperlink>
          </w:p>
        </w:tc>
        <w:tc>
          <w:tcPr>
            <w:tcW w:w="6200" w:type="dxa"/>
            <w:vAlign w:val="bottom"/>
            <w:gridSpan w:val="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92">
              <w:r>
                <w:rPr>
                  <w:rFonts w:ascii="Arial" w:cs="Arial" w:eastAsia="Arial" w:hAnsi="Arial"/>
                  <w:sz w:val="18"/>
                  <w:szCs w:val="18"/>
                  <w:color w:val="0000EE"/>
                  <w:w w:val="99"/>
                </w:rPr>
                <w:t>Description of Capital Stock</w:t>
              </w:r>
            </w:hyperlink>
          </w:p>
        </w:tc>
        <w:tc>
          <w:tcPr>
            <w:tcW w:w="8400" w:type="dxa"/>
            <w:vAlign w:val="bottom"/>
            <w:gridSpan w:val="10"/>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198">
              <w:r>
                <w:rPr>
                  <w:rFonts w:ascii="Arial" w:cs="Arial" w:eastAsia="Arial" w:hAnsi="Arial"/>
                  <w:sz w:val="18"/>
                  <w:szCs w:val="18"/>
                  <w:color w:val="0000EE"/>
                </w:rPr>
                <w:t>Shares Eligible for Future Sale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201">
              <w:r>
                <w:rPr>
                  <w:rFonts w:ascii="Arial" w:cs="Arial" w:eastAsia="Arial" w:hAnsi="Arial"/>
                  <w:sz w:val="18"/>
                  <w:szCs w:val="18"/>
                  <w:color w:val="0000EE"/>
                </w:rPr>
                <w:t>Material United States Federal Income Tax Consequences to Non-U.S. Holders of Our Common Stock</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83"/>
        </w:trPr>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205">
              <w:r>
                <w:rPr>
                  <w:rFonts w:ascii="Arial" w:cs="Arial" w:eastAsia="Arial" w:hAnsi="Arial"/>
                  <w:sz w:val="18"/>
                  <w:szCs w:val="18"/>
                  <w:color w:val="0000EE"/>
                  <w:w w:val="98"/>
                </w:rPr>
                <w:t>Underwriting</w:t>
              </w:r>
            </w:hyperlink>
          </w:p>
        </w:tc>
        <w:tc>
          <w:tcPr>
            <w:tcW w:w="7120" w:type="dxa"/>
            <w:vAlign w:val="bottom"/>
            <w:tcBorders>
              <w:top w:val="single" w:sz="8" w:color="0000EE"/>
            </w:tcBorders>
            <w:gridSpan w:val="18"/>
          </w:tcPr>
          <w:p>
            <w:pPr>
              <w:spacing w:after="0"/>
              <w:rPr>
                <w:sz w:val="15"/>
                <w:szCs w:val="15"/>
                <w:color w:val="auto"/>
              </w:rPr>
            </w:pPr>
          </w:p>
        </w:tc>
        <w:tc>
          <w:tcPr>
            <w:tcW w:w="248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211">
              <w:r>
                <w:rPr>
                  <w:rFonts w:ascii="Arial" w:cs="Arial" w:eastAsia="Arial" w:hAnsi="Arial"/>
                  <w:sz w:val="18"/>
                  <w:szCs w:val="18"/>
                  <w:color w:val="0000EE"/>
                  <w:w w:val="98"/>
                </w:rPr>
                <w:t>Legal Matters</w:t>
              </w:r>
            </w:hyperlink>
          </w:p>
        </w:tc>
        <w:tc>
          <w:tcPr>
            <w:tcW w:w="9520" w:type="dxa"/>
            <w:vAlign w:val="bottom"/>
            <w:gridSpan w:val="1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83"/>
        </w:trPr>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211">
              <w:r>
                <w:rPr>
                  <w:rFonts w:ascii="Arial" w:cs="Arial" w:eastAsia="Arial" w:hAnsi="Arial"/>
                  <w:sz w:val="18"/>
                  <w:szCs w:val="18"/>
                  <w:color w:val="0000EE"/>
                  <w:w w:val="98"/>
                </w:rPr>
                <w:t>Experts</w:t>
              </w:r>
            </w:hyperlink>
          </w:p>
        </w:tc>
        <w:tc>
          <w:tcPr>
            <w:tcW w:w="10000" w:type="dxa"/>
            <w:vAlign w:val="bottom"/>
            <w:gridSpan w:val="2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211">
              <w:r>
                <w:rPr>
                  <w:rFonts w:ascii="Arial" w:cs="Arial" w:eastAsia="Arial" w:hAnsi="Arial"/>
                  <w:sz w:val="18"/>
                  <w:szCs w:val="18"/>
                  <w:color w:val="0000EE"/>
                  <w:w w:val="98"/>
                </w:rPr>
                <w:t>Where You Can Find More Information</w:t>
              </w:r>
            </w:hyperlink>
          </w:p>
        </w:tc>
        <w:tc>
          <w:tcPr>
            <w:tcW w:w="7540" w:type="dxa"/>
            <w:vAlign w:val="bottom"/>
            <w:gridSpan w:val="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83"/>
        </w:trPr>
        <w:tc>
          <w:tcPr>
            <w:tcW w:w="34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12">
              <w:r>
                <w:rPr>
                  <w:rFonts w:ascii="Arial" w:cs="Arial" w:eastAsia="Arial" w:hAnsi="Arial"/>
                  <w:sz w:val="18"/>
                  <w:szCs w:val="18"/>
                  <w:color w:val="0000EE"/>
                  <w:w w:val="99"/>
                </w:rPr>
                <w:t>Index to Consolidated Financial Statements</w:t>
              </w:r>
            </w:hyperlink>
          </w:p>
        </w:tc>
        <w:tc>
          <w:tcPr>
            <w:tcW w:w="714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240030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We have not authorized anyone to provide you with any information other than the information contained in this prospectus or any free writing prospectus we have prepared. We take no responsibility for, and provide no assurance as to the reliability of, any other information that others may give you. This prospectus is an offer to sell only the shares offered hereby, but only in circumstances and in jurisdictions where it is lawful to so do. The information contained in this prospectus is accurate only as of its date, regardless of the time of delivery of this prospectus or of any sale of our common stock. Our business, financial condition, results of operations and prospects may have changed since that date.</w:t>
      </w:r>
    </w:p>
    <w:p>
      <w:pPr>
        <w:spacing w:after="0" w:line="205"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Neither we nor any of the underwriters have done anything that would permit this offering or possession or distribution of this prospectus in any jurisdiction where action for that purpose is required, other than the United States. You are required to inform yourself about, and to observe any restrictions relating to, this offering and the distribution of this prospectus.</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12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2145" cy="56127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80" w:firstLine="533"/>
        <w:spacing w:after="0"/>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the sections titled “Risk Factors” and “Management’s Discussion and Analysis of Financial Condition and Results of Operations,” in each case included elsewhere in this prospectus. Unless otherwise stated, all references to “us,” “our,” “NGM,” “NGM Biopharmaceuticals,” “we,” the “Company” and similar designations refer to NGM Biopharmaceuticals, Inc. and its subsidiary.</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380" w:right="20" w:firstLine="533"/>
        <w:spacing w:after="0" w:line="236" w:lineRule="auto"/>
        <w:rPr>
          <w:sz w:val="20"/>
          <w:szCs w:val="20"/>
          <w:color w:val="auto"/>
        </w:rPr>
      </w:pPr>
      <w:r>
        <w:rPr>
          <w:rFonts w:ascii="Arial" w:cs="Arial" w:eastAsia="Arial" w:hAnsi="Arial"/>
          <w:sz w:val="18"/>
          <w:szCs w:val="18"/>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mid-2019. In an ongoing Phase 2 clinical trial, NGM282 has demonstrated the ability to rapidly improve NASH and reverse liver fibrosis at 12 weeks. We have created this portfolio using our research and drug discovery approach that employs unbiased, </w:t>
      </w:r>
      <w:r>
        <w:rPr>
          <w:rFonts w:ascii="Arial" w:cs="Arial" w:eastAsia="Arial" w:hAnsi="Arial"/>
          <w:sz w:val="18"/>
          <w:szCs w:val="18"/>
          <w:i w:val="1"/>
          <w:iCs w:val="1"/>
          <w:color w:val="auto"/>
        </w:rPr>
        <w:t>in vivo</w:t>
      </w:r>
      <w:r>
        <w:rPr>
          <w:rFonts w:ascii="Arial" w:cs="Arial" w:eastAsia="Arial" w:hAnsi="Arial"/>
          <w:sz w:val="18"/>
          <w:szCs w:val="18"/>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Collaboration with Merck</w:t>
      </w:r>
    </w:p>
    <w:p>
      <w:pPr>
        <w:spacing w:after="0" w:line="234" w:lineRule="exact"/>
        <w:rPr>
          <w:sz w:val="20"/>
          <w:szCs w:val="20"/>
          <w:color w:val="auto"/>
        </w:rPr>
      </w:pPr>
    </w:p>
    <w:p>
      <w:pPr>
        <w:ind w:left="380" w:right="140" w:firstLine="533"/>
        <w:spacing w:after="0" w:line="236" w:lineRule="auto"/>
        <w:rPr>
          <w:sz w:val="20"/>
          <w:szCs w:val="20"/>
          <w:color w:val="auto"/>
        </w:rPr>
      </w:pPr>
      <w:r>
        <w:rPr>
          <w:rFonts w:ascii="Arial" w:cs="Arial" w:eastAsia="Arial" w:hAnsi="Arial"/>
          <w:sz w:val="18"/>
          <w:szCs w:val="18"/>
          <w:color w:val="auto"/>
        </w:rPr>
        <w:t>In 2015, we entered into a five-year research collaboration, product development and license agreement with Merck Sharp &amp; Dohme Corp., or Merck. On March 15, 2019, Merck exercised its option to extend the collaboration for two additional years to March 2022. At inception, the collaboration included an exclusive worldwide license to our growth differentiation factor 15, or GDF15, receptor agonist program. On March 1, 2019, Merck notified us of its intent to terminate its license to the GDF15 receptor agonist program, effective May 31, 2019. Upon effectiveness of this termination, we will regain full rights to the GDF15 receptor agonist program, which includes NGM386 and NGM395. We expect to decide whether to advance NGM386 and/or NGM395 following our analysis of the results of the NGM386 Phase 1 study. Under the collaboration agreement, we also granted Merck options to take exclusive, worldwide licenses for the programs in our research and development pipeline on a program-by-program basis. Merck generally has a one-time right to exercise its option when a program completes a human proof-of-concept trial. In November 2018, Merck exercised its option to license NGM313, an agonist antibody selectively activating fibroblast growth factor receptor 1c-beta-klotho, or FGFR1c/KLB, as a potential treatment for NASH and type 2 diabetes.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045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20453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80" w:right="100"/>
        <w:spacing w:after="0" w:line="239" w:lineRule="auto"/>
        <w:rPr>
          <w:sz w:val="20"/>
          <w:szCs w:val="20"/>
          <w:color w:val="auto"/>
        </w:rPr>
      </w:pPr>
      <w:r>
        <w:rPr>
          <w:rFonts w:ascii="Arial" w:cs="Arial" w:eastAsia="Arial" w:hAnsi="Arial"/>
          <w:sz w:val="18"/>
          <w:szCs w:val="18"/>
          <w:color w:val="auto"/>
        </w:rPr>
        <w:t>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28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4" w:lineRule="exact"/>
        <w:rPr>
          <w:sz w:val="20"/>
          <w:szCs w:val="20"/>
          <w:color w:val="auto"/>
        </w:rPr>
      </w:pPr>
    </w:p>
    <w:p>
      <w:pPr>
        <w:ind w:left="380" w:firstLine="533"/>
        <w:spacing w:after="0" w:line="253" w:lineRule="auto"/>
        <w:rPr>
          <w:sz w:val="20"/>
          <w:szCs w:val="20"/>
          <w:color w:val="auto"/>
        </w:rPr>
      </w:pPr>
      <w:r>
        <w:rPr>
          <w:rFonts w:ascii="Arial" w:cs="Arial" w:eastAsia="Arial" w:hAnsi="Arial"/>
          <w:sz w:val="17"/>
          <w:szCs w:val="17"/>
          <w:color w:val="auto"/>
        </w:rPr>
        <w:t>We pursue drug discovery and development through a multi-step process geared towards translating powerful human biology into first-in-class medicines. Our founding team designed our approach based on many decades of collective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We then rapidly advance the program to evaluate the effect of these product candidates on biomarkers of disease or target activity in order to enable early demonstration of human proof of concept.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240" w:top="459" w:right="7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Our Development Programs</w:t>
      </w:r>
    </w:p>
    <w:p>
      <w:pPr>
        <w:spacing w:after="0" w:line="234" w:lineRule="exact"/>
        <w:rPr>
          <w:sz w:val="20"/>
          <w:szCs w:val="20"/>
          <w:color w:val="auto"/>
        </w:rPr>
      </w:pPr>
    </w:p>
    <w:p>
      <w:pPr>
        <w:ind w:left="380" w:right="20" w:firstLine="533"/>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We are currently advancing seven proprietary product candidates, as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1100" w:hanging="187"/>
        <w:spacing w:after="0" w:line="238"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Preliminary results from Phase 2 clinical trials have provided clinical proof of concept for a once-daily injection of NGM282 by demonstrating statistically significant reductions in liver fat, liver transaminases and biomarkers of fibrosis, which has translated into improvements on liver histology and fibrosis at 12 weeks. We expect interim data in the second half of 2019 from our ongoing placebo-controlled Phase 2 clinical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240" w:top="459" w:right="9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789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47891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360"/>
        <w:spacing w:after="0" w:line="246" w:lineRule="auto"/>
        <w:rPr>
          <w:sz w:val="20"/>
          <w:szCs w:val="20"/>
          <w:color w:val="auto"/>
        </w:rPr>
      </w:pPr>
      <w:r>
        <w:rPr>
          <w:rFonts w:ascii="Arial" w:cs="Arial" w:eastAsia="Arial" w:hAnsi="Arial"/>
          <w:sz w:val="18"/>
          <w:szCs w:val="18"/>
          <w:color w:val="auto"/>
        </w:rPr>
        <w:t>trial cohort assessing the histological effects of NGM282 after 24 weeks of treatment. We excluded our FGF19 program, including NGM282, from our Merck collaboration, and it remains wholly-owned by us.</w:t>
      </w:r>
    </w:p>
    <w:p>
      <w:pPr>
        <w:spacing w:after="0" w:line="102" w:lineRule="exact"/>
        <w:rPr>
          <w:sz w:val="20"/>
          <w:szCs w:val="20"/>
          <w:color w:val="auto"/>
        </w:rPr>
      </w:pPr>
    </w:p>
    <w:p>
      <w:pPr>
        <w:ind w:left="1100" w:right="360" w:hanging="187"/>
        <w:spacing w:after="0" w:line="23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NGM313 is an agonistic antibody selectively activating FGFR1c/KLB and has the potential as an insulin sensitizer and regulator of lipid homeostasis to be a treatment for NASH and type 2 diabetes. Preliminary data from a Phase 1b proof-of-concept clinical trial in obese, insulin resistant subjects with non-alcoholic fatty liver disease, or NAFLD, demonstrated that a single dose of NGM313 resulted in a statistically significant reduction in liver fat content and improvements in multiple metabolic parameters. Following completion of this proof-of-concept study, Merck exercised its option to license the program in November 2018. We expect Merck to initiate a Phase 2b study of NGM313 in NASH patients in late 2019 or early 2020.</w:t>
      </w:r>
    </w:p>
    <w:p>
      <w:pPr>
        <w:spacing w:after="0" w:line="108" w:lineRule="exact"/>
        <w:rPr>
          <w:rFonts w:ascii="Arial" w:cs="Arial" w:eastAsia="Arial" w:hAnsi="Arial"/>
          <w:sz w:val="18"/>
          <w:szCs w:val="18"/>
          <w:color w:val="auto"/>
        </w:rPr>
      </w:pPr>
    </w:p>
    <w:p>
      <w:pPr>
        <w:ind w:left="1100" w:right="120" w:hanging="187"/>
        <w:spacing w:after="0" w:line="238"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NGM120 is an antagonistic antibody binding glial cell-derived neurotrophic factor receptor alpha-like, or GFRAL, that is designed to inhibit the effects of elevated GDF15 levels on cancer anorexia/cachexia syndrome, or CACS, and, possibly, cancer. We are currently testing NGM120 in healthy volunteers in a Phase 1 clinical trial to assess its safety, tolerability and pharmacokinetic profile. We expect to initiate a Phase 1a/1b clinical trial of NGM120 in cancer patients in the second half of 2019. Merck has a one-time option to license NGM120 upon our completion of a proof-of-concept study in humans.</w:t>
      </w:r>
    </w:p>
    <w:p>
      <w:pPr>
        <w:spacing w:after="0" w:line="108" w:lineRule="exact"/>
        <w:rPr>
          <w:rFonts w:ascii="Arial" w:cs="Arial" w:eastAsia="Arial" w:hAnsi="Arial"/>
          <w:sz w:val="18"/>
          <w:szCs w:val="18"/>
          <w:color w:val="auto"/>
        </w:rPr>
      </w:pPr>
    </w:p>
    <w:p>
      <w:pPr>
        <w:ind w:left="1100" w:right="60" w:hanging="187"/>
        <w:spacing w:after="0" w:line="238"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that is designed to restore pancreatic islet function and increase insulin production in patients with diabetes. NGM217 is in a Phase 1 study in adults with diabetes, where we are assessing its ability to increase levels of C-peptide, a biomarker of insulin production. We expect to initiate a Phase 1b/2a proof-of-concept clinical trial in adults with diabetes in 2020. Merck has a one-time option to license NGM217 upon our completion of a proof-of-concept study in humans.</w:t>
      </w:r>
    </w:p>
    <w:p>
      <w:pPr>
        <w:spacing w:after="0" w:line="108" w:lineRule="exact"/>
        <w:rPr>
          <w:rFonts w:ascii="Arial" w:cs="Arial" w:eastAsia="Arial" w:hAnsi="Arial"/>
          <w:sz w:val="18"/>
          <w:szCs w:val="18"/>
          <w:color w:val="auto"/>
        </w:rPr>
      </w:pPr>
    </w:p>
    <w:p>
      <w:pPr>
        <w:ind w:left="1100" w:hanging="187"/>
        <w:spacing w:after="0" w:line="238"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that is designed to decrease levels of a protein implicated in the dry form of age-related macular degeneration, or dry AMD. NGM621 is in investigational new drug, or IND, enabling studies, and we expect to begin a Phase 1 safety, tolerability and pharmacokinetics study in patients with geographic atrophy, or GA, an advanced form of dry AMD, in the second half of 2019. Merck has a one-time option to license NGM621 upon our completion of a proof-of-concept study in humans.</w:t>
      </w:r>
    </w:p>
    <w:p>
      <w:pPr>
        <w:spacing w:after="0" w:line="108" w:lineRule="exact"/>
        <w:rPr>
          <w:rFonts w:ascii="Arial" w:cs="Arial" w:eastAsia="Arial" w:hAnsi="Arial"/>
          <w:sz w:val="18"/>
          <w:szCs w:val="18"/>
          <w:color w:val="auto"/>
        </w:rPr>
      </w:pPr>
    </w:p>
    <w:p>
      <w:pPr>
        <w:ind w:left="1100" w:hanging="187"/>
        <w:spacing w:after="0" w:line="236"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NGM386 and NGM395 are engineered variants of the human hormone known as GDF15, which were being developed with Merck under the collaboration for the treatment of obesity. Merck licensed our GDF15 receptor agonist program in 2015 and completed the conduct of a Phase 1 study of NGM386 in overweight or obese but otherwise healthy adults. Preliminary data from the study indicated that NGM386 treatment for 28 days was generally well-tolerated but did not result in significant body weight loss in obese subjects. On March 1, 2019, Merck notified us of its intent to terminate its license to the program, effective May 31, 2019. Upon effectiveness of this termination, we will regain full rights to the GDF15 receptor agonist program, which includes NGM386 and NGM395. We expect to decide whether to advance NGM386 and/or NGM395 following the completion of our detailed analysis of the results of the NGM386 Phase 1 study.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41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60413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380" w:right="160" w:firstLine="533"/>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90" w:lineRule="exact"/>
        <w:rPr>
          <w:sz w:val="20"/>
          <w:szCs w:val="20"/>
          <w:color w:val="auto"/>
        </w:rPr>
      </w:pPr>
    </w:p>
    <w:p>
      <w:pPr>
        <w:ind w:left="1100" w:right="280" w:hanging="187"/>
        <w:spacing w:after="0" w:line="26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Establish NGM282, our wholly-owned compound, as the leading treatment for NASH patients with moderate to advanced fibrosis</w:t>
      </w:r>
    </w:p>
    <w:p>
      <w:pPr>
        <w:spacing w:after="0" w:line="66" w:lineRule="exact"/>
        <w:rPr>
          <w:rFonts w:ascii="Arial" w:cs="Arial" w:eastAsia="Arial" w:hAnsi="Arial"/>
          <w:sz w:val="18"/>
          <w:szCs w:val="18"/>
          <w:color w:val="auto"/>
        </w:rPr>
      </w:pPr>
    </w:p>
    <w:p>
      <w:pPr>
        <w:ind w:left="1100" w:hanging="18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Leverage our collaboration with Merck to advance our pipeline</w:t>
      </w:r>
    </w:p>
    <w:p>
      <w:pPr>
        <w:spacing w:after="0" w:line="117" w:lineRule="exact"/>
        <w:rPr>
          <w:rFonts w:ascii="Arial" w:cs="Arial" w:eastAsia="Arial" w:hAnsi="Arial"/>
          <w:sz w:val="18"/>
          <w:szCs w:val="18"/>
          <w:color w:val="auto"/>
        </w:rPr>
      </w:pPr>
    </w:p>
    <w:p>
      <w:pPr>
        <w:ind w:left="1100" w:hanging="18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Grow our pipeline and extend our therapeutic areas of focus</w:t>
      </w:r>
    </w:p>
    <w:p>
      <w:pPr>
        <w:spacing w:after="0" w:line="117" w:lineRule="exact"/>
        <w:rPr>
          <w:rFonts w:ascii="Arial" w:cs="Arial" w:eastAsia="Arial" w:hAnsi="Arial"/>
          <w:sz w:val="18"/>
          <w:szCs w:val="18"/>
          <w:color w:val="auto"/>
        </w:rPr>
      </w:pPr>
    </w:p>
    <w:p>
      <w:pPr>
        <w:ind w:left="1100" w:hanging="18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Build capabilities to deliver medicines to patients in areas of high unmet medical need</w:t>
      </w:r>
    </w:p>
    <w:p>
      <w:pPr>
        <w:spacing w:after="0" w:line="117" w:lineRule="exact"/>
        <w:rPr>
          <w:rFonts w:ascii="Arial" w:cs="Arial" w:eastAsia="Arial" w:hAnsi="Arial"/>
          <w:sz w:val="18"/>
          <w:szCs w:val="18"/>
          <w:color w:val="auto"/>
        </w:rPr>
      </w:pPr>
    </w:p>
    <w:p>
      <w:pPr>
        <w:ind w:left="1100" w:hanging="18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Strengthen our position as a leading drug discovery and development company</w:t>
      </w:r>
    </w:p>
    <w:p>
      <w:pPr>
        <w:spacing w:after="0" w:line="31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4" w:lineRule="exact"/>
        <w:rPr>
          <w:sz w:val="20"/>
          <w:szCs w:val="20"/>
          <w:color w:val="auto"/>
        </w:rPr>
      </w:pPr>
    </w:p>
    <w:p>
      <w:pPr>
        <w:ind w:left="380" w:right="400" w:firstLine="533"/>
        <w:spacing w:after="0" w:line="246"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those risks are:</w:t>
      </w:r>
    </w:p>
    <w:p>
      <w:pPr>
        <w:spacing w:after="0" w:line="102" w:lineRule="exact"/>
        <w:rPr>
          <w:sz w:val="20"/>
          <w:szCs w:val="20"/>
          <w:color w:val="auto"/>
        </w:rPr>
      </w:pPr>
    </w:p>
    <w:p>
      <w:pPr>
        <w:ind w:left="1100" w:right="18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expect to incur significant and increasing operating losses and may never be profitable;</w:t>
      </w:r>
    </w:p>
    <w:p>
      <w:pPr>
        <w:spacing w:after="0" w:line="102" w:lineRule="exact"/>
        <w:rPr>
          <w:rFonts w:ascii="Arial" w:cs="Arial" w:eastAsia="Arial" w:hAnsi="Arial"/>
          <w:sz w:val="18"/>
          <w:szCs w:val="18"/>
          <w:color w:val="auto"/>
        </w:rPr>
      </w:pPr>
    </w:p>
    <w:p>
      <w:pPr>
        <w:ind w:left="1100" w:right="14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acquire additional capital to finance our operations, which may not be available to us on acceptable terms, or at all;</w:t>
      </w:r>
    </w:p>
    <w:p>
      <w:pPr>
        <w:spacing w:after="0" w:line="102" w:lineRule="exact"/>
        <w:rPr>
          <w:rFonts w:ascii="Arial" w:cs="Arial" w:eastAsia="Arial" w:hAnsi="Arial"/>
          <w:sz w:val="18"/>
          <w:szCs w:val="18"/>
          <w:color w:val="auto"/>
        </w:rPr>
      </w:pPr>
    </w:p>
    <w:p>
      <w:pPr>
        <w:ind w:left="1100" w:hanging="187"/>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substantially all of our revenue for recent periods has been received from a single collaboration partner;</w:t>
      </w:r>
    </w:p>
    <w:p>
      <w:pPr>
        <w:spacing w:after="0" w:line="117" w:lineRule="exact"/>
        <w:rPr>
          <w:rFonts w:ascii="Arial" w:cs="Arial" w:eastAsia="Arial" w:hAnsi="Arial"/>
          <w:sz w:val="18"/>
          <w:szCs w:val="18"/>
          <w:color w:val="auto"/>
        </w:rPr>
      </w:pPr>
    </w:p>
    <w:p>
      <w:pPr>
        <w:ind w:left="1100" w:right="40" w:hanging="187"/>
        <w:spacing w:after="0" w:line="275"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currently have no approved products or product revenue, and we will need to successfully complete preclinical and clinical testing of our product candidates before we can seek regulatory approval and potentially generate commercial sales;</w:t>
      </w:r>
    </w:p>
    <w:p>
      <w:pPr>
        <w:spacing w:after="0" w:line="78" w:lineRule="exact"/>
        <w:rPr>
          <w:rFonts w:ascii="Arial" w:cs="Arial" w:eastAsia="Arial" w:hAnsi="Arial"/>
          <w:sz w:val="17"/>
          <w:szCs w:val="17"/>
          <w:color w:val="auto"/>
        </w:rPr>
      </w:pPr>
    </w:p>
    <w:p>
      <w:pPr>
        <w:ind w:left="1100" w:right="36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 and our scientific advisors;</w:t>
      </w:r>
    </w:p>
    <w:p>
      <w:pPr>
        <w:spacing w:after="0" w:line="102" w:lineRule="exact"/>
        <w:rPr>
          <w:rFonts w:ascii="Arial" w:cs="Arial" w:eastAsia="Arial" w:hAnsi="Arial"/>
          <w:sz w:val="18"/>
          <w:szCs w:val="18"/>
          <w:color w:val="auto"/>
        </w:rPr>
      </w:pPr>
    </w:p>
    <w:p>
      <w:pPr>
        <w:ind w:left="110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trials of our product candidates may fail to demonstrate safety and efficacy to the satisfaction of regulatory authorities or otherwise produce positive results;</w:t>
      </w:r>
    </w:p>
    <w:p>
      <w:pPr>
        <w:spacing w:after="0" w:line="102" w:lineRule="exact"/>
        <w:rPr>
          <w:rFonts w:ascii="Arial" w:cs="Arial" w:eastAsia="Arial" w:hAnsi="Arial"/>
          <w:sz w:val="18"/>
          <w:szCs w:val="18"/>
          <w:color w:val="auto"/>
        </w:rPr>
      </w:pPr>
    </w:p>
    <w:p>
      <w:pPr>
        <w:ind w:left="1100" w:right="94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our collaboration with Merck and may depend on collaborations with additional third parties for the development and commercialization of our product candidates;</w:t>
      </w:r>
    </w:p>
    <w:p>
      <w:pPr>
        <w:spacing w:after="0" w:line="102" w:lineRule="exact"/>
        <w:rPr>
          <w:rFonts w:ascii="Arial" w:cs="Arial" w:eastAsia="Arial" w:hAnsi="Arial"/>
          <w:sz w:val="18"/>
          <w:szCs w:val="18"/>
          <w:color w:val="auto"/>
        </w:rPr>
      </w:pPr>
    </w:p>
    <w:p>
      <w:pPr>
        <w:ind w:left="1100" w:right="34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FDA, and comparable foreign regulatory authorities are lengthy, time-consuming and inherently unpredictable;</w:t>
      </w:r>
    </w:p>
    <w:p>
      <w:pPr>
        <w:spacing w:after="0" w:line="102" w:lineRule="exact"/>
        <w:rPr>
          <w:rFonts w:ascii="Arial" w:cs="Arial" w:eastAsia="Arial" w:hAnsi="Arial"/>
          <w:sz w:val="18"/>
          <w:szCs w:val="18"/>
          <w:color w:val="auto"/>
        </w:rPr>
      </w:pPr>
    </w:p>
    <w:p>
      <w:pPr>
        <w:ind w:left="110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upon our ability to obtain, maintain, defend and enforce intellectual property protection for our products and technologies, and we may not be able to protect our intellectual property rights throughout the world;</w:t>
      </w:r>
    </w:p>
    <w:p>
      <w:pPr>
        <w:spacing w:after="0" w:line="102" w:lineRule="exact"/>
        <w:rPr>
          <w:rFonts w:ascii="Arial" w:cs="Arial" w:eastAsia="Arial" w:hAnsi="Arial"/>
          <w:sz w:val="18"/>
          <w:szCs w:val="18"/>
          <w:color w:val="auto"/>
        </w:rPr>
      </w:pPr>
    </w:p>
    <w:p>
      <w:pPr>
        <w:ind w:left="1100" w:right="20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principal stockholders, including Merck, and management own a significant percentage of our stock and will be able to exert significant control over matters subject to stockholder approval;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18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980" w:hanging="187"/>
        <w:spacing w:after="0" w:line="246"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Merck has granted a proxy to the chairman of our board of directors to vote Merck’s shares in favor of any action recommended and approved by our board of directors; and</w:t>
      </w:r>
    </w:p>
    <w:p>
      <w:pPr>
        <w:spacing w:after="0" w:line="102" w:lineRule="exact"/>
        <w:rPr>
          <w:rFonts w:ascii="Arial" w:cs="Arial" w:eastAsia="Arial" w:hAnsi="Arial"/>
          <w:sz w:val="18"/>
          <w:szCs w:val="18"/>
          <w:color w:val="auto"/>
        </w:rPr>
      </w:pPr>
    </w:p>
    <w:p>
      <w:pPr>
        <w:ind w:left="1100" w:right="300" w:hanging="187"/>
        <w:spacing w:after="0" w:line="246"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obtain and maintain the third-party relationships that are necessary to develop, commercialize and manufacture some or all of our product candidates.</w:t>
      </w:r>
    </w:p>
    <w:p>
      <w:pPr>
        <w:spacing w:after="0" w:line="2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Concurrent Private Placement</w:t>
      </w:r>
    </w:p>
    <w:p>
      <w:pPr>
        <w:spacing w:after="0" w:line="234" w:lineRule="exact"/>
        <w:rPr>
          <w:sz w:val="20"/>
          <w:szCs w:val="20"/>
          <w:color w:val="auto"/>
        </w:rPr>
      </w:pPr>
    </w:p>
    <w:p>
      <w:pPr>
        <w:jc w:val="both"/>
        <w:ind w:left="380" w:firstLine="533"/>
        <w:spacing w:after="0" w:line="239" w:lineRule="auto"/>
        <w:rPr>
          <w:sz w:val="20"/>
          <w:szCs w:val="20"/>
          <w:color w:val="auto"/>
        </w:rPr>
      </w:pPr>
      <w:r>
        <w:rPr>
          <w:rFonts w:ascii="Arial" w:cs="Arial" w:eastAsia="Arial" w:hAnsi="Arial"/>
          <w:sz w:val="18"/>
          <w:szCs w:val="18"/>
          <w:color w:val="auto"/>
        </w:rPr>
        <w:t>Merck, a strategic collaborator and existing stockholder, has agreed to purchase, 4,121,683 shares of our common stock in a separate private placement concurrent with the completion of this offering at a price of $16.00 per share. The sale of such shares will not be registered under the Securities Act of 1933, as amended, or the Securities Act. The completion of this offering is not contingent upon the completion of such concurrent private placement.</w:t>
      </w: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History and Information</w:t>
      </w:r>
    </w:p>
    <w:p>
      <w:pPr>
        <w:spacing w:after="0" w:line="234" w:lineRule="exact"/>
        <w:rPr>
          <w:sz w:val="20"/>
          <w:szCs w:val="20"/>
          <w:color w:val="auto"/>
        </w:rPr>
      </w:pPr>
    </w:p>
    <w:p>
      <w:pPr>
        <w:ind w:left="380" w:right="100" w:firstLine="533"/>
        <w:spacing w:after="0" w:line="239"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information contained in, or that can be accessed through, our website is not part of this prospectus.</w:t>
      </w:r>
    </w:p>
    <w:p>
      <w:pPr>
        <w:spacing w:after="0" w:line="202" w:lineRule="exact"/>
        <w:rPr>
          <w:sz w:val="20"/>
          <w:szCs w:val="20"/>
          <w:color w:val="auto"/>
        </w:rPr>
      </w:pPr>
    </w:p>
    <w:p>
      <w:pPr>
        <w:ind w:left="380" w:right="340" w:firstLine="533"/>
        <w:spacing w:after="0" w:line="246" w:lineRule="auto"/>
        <w:rPr>
          <w:sz w:val="20"/>
          <w:szCs w:val="20"/>
          <w:color w:val="auto"/>
        </w:rPr>
      </w:pPr>
      <w:r>
        <w:rPr>
          <w:rFonts w:ascii="Arial" w:cs="Arial" w:eastAsia="Arial" w:hAnsi="Arial"/>
          <w:sz w:val="18"/>
          <w:szCs w:val="18"/>
          <w:color w:val="auto"/>
        </w:rPr>
        <w:t>NGM and the NGM logo are our trademarks. Each of the other trademarks, trade names or service marks appearing in this prospectus belong to their respective holders.</w:t>
      </w:r>
    </w:p>
    <w:p>
      <w:pPr>
        <w:spacing w:after="0" w:line="28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380" w:firstLine="533"/>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this exemption and, as a result, will not be subject to the same implementation timing for new or revised accounting standards as for other public companies that are not emerging growth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60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46609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offered by us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6,666,667 shares</w:t>
      </w:r>
    </w:p>
    <w:p>
      <w:pPr>
        <w:spacing w:after="0" w:line="142" w:lineRule="exact"/>
        <w:rPr>
          <w:sz w:val="20"/>
          <w:szCs w:val="20"/>
          <w:color w:val="auto"/>
        </w:rPr>
      </w:pPr>
    </w:p>
    <w:p>
      <w:pPr>
        <w:sectPr>
          <w:pgSz w:w="11900" w:h="16838" w:orient="portrait"/>
          <w:cols w:equalWidth="0" w:num="2">
            <w:col w:w="5200" w:space="720"/>
            <w:col w:w="51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7"/>
          <w:szCs w:val="17"/>
          <w:color w:val="auto"/>
        </w:rPr>
        <w:t>Concurrent private placement to Merck</w:t>
      </w:r>
    </w:p>
    <w:p>
      <w:pPr>
        <w:spacing w:after="0" w:line="20" w:lineRule="exact"/>
        <w:rPr>
          <w:sz w:val="20"/>
          <w:szCs w:val="20"/>
          <w:color w:val="auto"/>
        </w:rPr>
      </w:pPr>
      <w:r>
        <w:rPr>
          <w:sz w:val="20"/>
          <w:szCs w:val="20"/>
          <w:color w:val="auto"/>
        </w:rPr>
        <w:br w:type="column"/>
      </w:r>
    </w:p>
    <w:p>
      <w:pPr>
        <w:ind w:right="120"/>
        <w:spacing w:after="0" w:line="261" w:lineRule="auto"/>
        <w:rPr>
          <w:sz w:val="20"/>
          <w:szCs w:val="20"/>
          <w:color w:val="auto"/>
        </w:rPr>
      </w:pPr>
      <w:r>
        <w:rPr>
          <w:rFonts w:ascii="Arial" w:cs="Arial" w:eastAsia="Arial" w:hAnsi="Arial"/>
          <w:sz w:val="17"/>
          <w:szCs w:val="17"/>
          <w:color w:val="auto"/>
        </w:rPr>
        <w:t>Merck has agreed to purchase 4,121,683 shares of our common stock in a separate private placement concurrent with the completion of this offering at a price of $16.00 per share.</w:t>
      </w:r>
    </w:p>
    <w:p>
      <w:pPr>
        <w:spacing w:after="0" w:line="92" w:lineRule="exact"/>
        <w:rPr>
          <w:sz w:val="20"/>
          <w:szCs w:val="20"/>
          <w:color w:val="auto"/>
        </w:rPr>
      </w:pPr>
    </w:p>
    <w:p>
      <w:pPr>
        <w:sectPr>
          <w:pgSz w:w="11900" w:h="16838" w:orient="portrait"/>
          <w:cols w:equalWidth="0" w:num="2">
            <w:col w:w="5200" w:space="720"/>
            <w:col w:w="5100"/>
          </w:cols>
          <w:pgMar w:left="240" w:top="459" w:right="639" w:bottom="1440" w:gutter="0" w:footer="0" w:header="0"/>
          <w:type w:val="continuous"/>
        </w:sectPr>
      </w:pPr>
    </w:p>
    <w:p>
      <w:pPr>
        <w:ind w:left="500" w:right="180" w:hanging="107"/>
        <w:spacing w:after="0" w:line="246" w:lineRule="auto"/>
        <w:rPr>
          <w:sz w:val="20"/>
          <w:szCs w:val="20"/>
          <w:color w:val="auto"/>
        </w:rPr>
      </w:pPr>
      <w:r>
        <w:rPr>
          <w:rFonts w:ascii="Arial" w:cs="Arial" w:eastAsia="Arial" w:hAnsi="Arial"/>
          <w:sz w:val="18"/>
          <w:szCs w:val="18"/>
          <w:color w:val="auto"/>
        </w:rPr>
        <w:t>Common stock to be outstanding after the offering and the concurrent private placement to Merck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64,993,706 shares</w:t>
      </w:r>
    </w:p>
    <w:p>
      <w:pPr>
        <w:spacing w:after="0" w:line="344" w:lineRule="exact"/>
        <w:rPr>
          <w:sz w:val="20"/>
          <w:szCs w:val="20"/>
          <w:color w:val="auto"/>
        </w:rPr>
      </w:pPr>
    </w:p>
    <w:p>
      <w:pPr>
        <w:sectPr>
          <w:pgSz w:w="11900" w:h="16838" w:orient="portrait"/>
          <w:cols w:equalWidth="0" w:num="2">
            <w:col w:w="5200" w:space="720"/>
            <w:col w:w="51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Underwriters’ option to purchase additional shares of common stock 1,000,000 shares</w:t>
      </w:r>
    </w:p>
    <w:p>
      <w:pPr>
        <w:sectPr>
          <w:pgSz w:w="11900" w:h="16838" w:orient="portrait"/>
          <w:cols w:equalWidth="0" w:num="1">
            <w:col w:w="11020"/>
          </w:cols>
          <w:pgMar w:left="240" w:top="459" w:right="639" w:bottom="1440" w:gutter="0" w:footer="0" w:header="0"/>
          <w:type w:val="continuous"/>
        </w:sectPr>
      </w:pP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our net proceeds from this offering, excluding</w:t>
      </w:r>
    </w:p>
    <w:p>
      <w:pPr>
        <w:spacing w:after="0" w:line="234" w:lineRule="auto"/>
        <w:rPr>
          <w:sz w:val="20"/>
          <w:szCs w:val="20"/>
          <w:color w:val="auto"/>
        </w:rPr>
      </w:pPr>
      <w:r>
        <w:rPr>
          <w:rFonts w:ascii="Arial" w:cs="Arial" w:eastAsia="Arial" w:hAnsi="Arial"/>
          <w:sz w:val="18"/>
          <w:szCs w:val="18"/>
          <w:color w:val="auto"/>
        </w:rPr>
        <w:t>the proceeds from the concurrent private placement to Merck,</w:t>
      </w:r>
    </w:p>
    <w:p>
      <w:pPr>
        <w:spacing w:after="0" w:line="235" w:lineRule="auto"/>
        <w:rPr>
          <w:sz w:val="20"/>
          <w:szCs w:val="20"/>
          <w:color w:val="auto"/>
        </w:rPr>
      </w:pPr>
      <w:r>
        <w:rPr>
          <w:rFonts w:ascii="Arial" w:cs="Arial" w:eastAsia="Arial" w:hAnsi="Arial"/>
          <w:sz w:val="18"/>
          <w:szCs w:val="18"/>
          <w:color w:val="auto"/>
        </w:rPr>
        <w:t>will be approximately $95.7 million, or approximately</w:t>
      </w:r>
    </w:p>
    <w:p>
      <w:pPr>
        <w:spacing w:after="0" w:line="235" w:lineRule="auto"/>
        <w:rPr>
          <w:sz w:val="20"/>
          <w:szCs w:val="20"/>
          <w:color w:val="auto"/>
        </w:rPr>
      </w:pPr>
      <w:r>
        <w:rPr>
          <w:rFonts w:ascii="Arial" w:cs="Arial" w:eastAsia="Arial" w:hAnsi="Arial"/>
          <w:sz w:val="18"/>
          <w:szCs w:val="18"/>
          <w:color w:val="auto"/>
        </w:rPr>
        <w:t>$110.6 million if the underwriters exercise in full their option to</w:t>
      </w:r>
    </w:p>
    <w:p>
      <w:pPr>
        <w:spacing w:after="0" w:line="235" w:lineRule="auto"/>
        <w:rPr>
          <w:sz w:val="20"/>
          <w:szCs w:val="20"/>
          <w:color w:val="auto"/>
        </w:rPr>
      </w:pPr>
      <w:r>
        <w:rPr>
          <w:rFonts w:ascii="Arial" w:cs="Arial" w:eastAsia="Arial" w:hAnsi="Arial"/>
          <w:sz w:val="18"/>
          <w:szCs w:val="18"/>
          <w:color w:val="auto"/>
        </w:rPr>
        <w:t>purchase additional shares of our common stock, after</w:t>
      </w:r>
    </w:p>
    <w:p>
      <w:pPr>
        <w:spacing w:after="0" w:line="235" w:lineRule="auto"/>
        <w:rPr>
          <w:sz w:val="20"/>
          <w:szCs w:val="20"/>
          <w:color w:val="auto"/>
        </w:rPr>
      </w:pPr>
      <w:r>
        <w:rPr>
          <w:rFonts w:ascii="Arial" w:cs="Arial" w:eastAsia="Arial" w:hAnsi="Arial"/>
          <w:sz w:val="18"/>
          <w:szCs w:val="18"/>
          <w:color w:val="auto"/>
        </w:rPr>
        <w:t>deducting underwriting discounts and commissions and</w:t>
      </w:r>
    </w:p>
    <w:p>
      <w:pPr>
        <w:spacing w:after="0" w:line="235" w:lineRule="auto"/>
        <w:rPr>
          <w:sz w:val="20"/>
          <w:szCs w:val="20"/>
          <w:color w:val="auto"/>
        </w:rPr>
      </w:pPr>
      <w:r>
        <w:rPr>
          <w:rFonts w:ascii="Arial" w:cs="Arial" w:eastAsia="Arial" w:hAnsi="Arial"/>
          <w:sz w:val="18"/>
          <w:szCs w:val="18"/>
          <w:color w:val="auto"/>
        </w:rPr>
        <w:t>estimated offering expenses payable by us. Additionally, our net</w:t>
      </w:r>
    </w:p>
    <w:p>
      <w:pPr>
        <w:spacing w:after="0"/>
        <w:rPr>
          <w:sz w:val="20"/>
          <w:szCs w:val="20"/>
          <w:color w:val="auto"/>
        </w:rPr>
      </w:pPr>
      <w:r>
        <w:rPr>
          <w:rFonts w:ascii="Arial" w:cs="Arial" w:eastAsia="Arial" w:hAnsi="Arial"/>
          <w:sz w:val="17"/>
          <w:szCs w:val="17"/>
          <w:color w:val="auto"/>
        </w:rPr>
        <w:t>proceeds from the concurrent private placement to Merck will be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$65.9 million.</w:t>
      </w:r>
    </w:p>
    <w:p>
      <w:pPr>
        <w:spacing w:after="0" w:line="113" w:lineRule="exact"/>
        <w:rPr>
          <w:sz w:val="20"/>
          <w:szCs w:val="20"/>
          <w:color w:val="auto"/>
        </w:rPr>
      </w:pPr>
    </w:p>
    <w:p>
      <w:pPr>
        <w:sectPr>
          <w:pgSz w:w="11900" w:h="16838" w:orient="portrait"/>
          <w:cols w:equalWidth="0" w:num="2">
            <w:col w:w="5200" w:space="720"/>
            <w:col w:w="5100"/>
          </w:cols>
          <w:pgMar w:left="240" w:top="459" w:right="639" w:bottom="1440" w:gutter="0" w:footer="0" w:header="0"/>
          <w:type w:val="continuous"/>
        </w:sectPr>
      </w:pPr>
    </w:p>
    <w:p>
      <w:pPr>
        <w:ind w:left="5920"/>
        <w:spacing w:after="0"/>
        <w:rPr>
          <w:sz w:val="20"/>
          <w:szCs w:val="20"/>
          <w:color w:val="auto"/>
        </w:rPr>
      </w:pPr>
      <w:r>
        <w:rPr>
          <w:rFonts w:ascii="Arial" w:cs="Arial" w:eastAsia="Arial" w:hAnsi="Arial"/>
          <w:sz w:val="18"/>
          <w:szCs w:val="18"/>
          <w:color w:val="auto"/>
        </w:rPr>
        <w:t>We intend to use the net proceeds from this offering to fund</w:t>
      </w:r>
    </w:p>
    <w:p>
      <w:pPr>
        <w:ind w:left="5920"/>
        <w:spacing w:after="0" w:line="234" w:lineRule="auto"/>
        <w:rPr>
          <w:sz w:val="20"/>
          <w:szCs w:val="20"/>
          <w:color w:val="auto"/>
        </w:rPr>
      </w:pPr>
      <w:r>
        <w:rPr>
          <w:rFonts w:ascii="Arial" w:cs="Arial" w:eastAsia="Arial" w:hAnsi="Arial"/>
          <w:sz w:val="18"/>
          <w:szCs w:val="18"/>
          <w:color w:val="auto"/>
        </w:rPr>
        <w:t>development of the NGM282 program and related product</w:t>
      </w:r>
    </w:p>
    <w:p>
      <w:pPr>
        <w:ind w:left="5920"/>
        <w:spacing w:after="0" w:line="235" w:lineRule="auto"/>
        <w:rPr>
          <w:sz w:val="20"/>
          <w:szCs w:val="20"/>
          <w:color w:val="auto"/>
        </w:rPr>
      </w:pPr>
      <w:r>
        <w:rPr>
          <w:rFonts w:ascii="Arial" w:cs="Arial" w:eastAsia="Arial" w:hAnsi="Arial"/>
          <w:sz w:val="18"/>
          <w:szCs w:val="18"/>
          <w:color w:val="auto"/>
        </w:rPr>
        <w:t>candidates, to fund the development of our other programs,</w:t>
      </w:r>
    </w:p>
    <w:p>
      <w:pPr>
        <w:ind w:left="5920"/>
        <w:spacing w:after="0" w:line="235" w:lineRule="auto"/>
        <w:rPr>
          <w:sz w:val="20"/>
          <w:szCs w:val="20"/>
          <w:color w:val="auto"/>
        </w:rPr>
      </w:pPr>
      <w:r>
        <w:rPr>
          <w:rFonts w:ascii="Arial" w:cs="Arial" w:eastAsia="Arial" w:hAnsi="Arial"/>
          <w:sz w:val="18"/>
          <w:szCs w:val="18"/>
          <w:color w:val="auto"/>
        </w:rPr>
        <w:t>including our early-stage drug discovery programs and</w:t>
      </w:r>
    </w:p>
    <w:p>
      <w:pPr>
        <w:ind w:left="5920"/>
        <w:spacing w:after="0" w:line="235" w:lineRule="auto"/>
        <w:rPr>
          <w:sz w:val="20"/>
          <w:szCs w:val="20"/>
          <w:color w:val="auto"/>
        </w:rPr>
      </w:pPr>
      <w:r>
        <w:rPr>
          <w:rFonts w:ascii="Arial" w:cs="Arial" w:eastAsia="Arial" w:hAnsi="Arial"/>
          <w:sz w:val="18"/>
          <w:szCs w:val="18"/>
          <w:color w:val="auto"/>
        </w:rPr>
        <w:t>pre-commercialization activities, and for working capital and</w:t>
      </w:r>
    </w:p>
    <w:p>
      <w:pPr>
        <w:ind w:left="5920"/>
        <w:spacing w:after="0"/>
        <w:rPr>
          <w:sz w:val="20"/>
          <w:szCs w:val="20"/>
          <w:color w:val="auto"/>
        </w:rPr>
      </w:pPr>
      <w:r>
        <w:rPr>
          <w:rFonts w:ascii="Arial" w:cs="Arial" w:eastAsia="Arial" w:hAnsi="Arial"/>
          <w:sz w:val="17"/>
          <w:szCs w:val="17"/>
          <w:color w:val="auto"/>
        </w:rPr>
        <w:t>other general operating expenses. See “Use of Proceeds” for</w:t>
      </w:r>
    </w:p>
    <w:p>
      <w:pPr>
        <w:spacing w:after="0" w:line="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more detailed information.</w:t>
      </w:r>
    </w:p>
    <w:p>
      <w:pPr>
        <w:sectPr>
          <w:pgSz w:w="11900" w:h="16838" w:orient="portrait"/>
          <w:cols w:equalWidth="0" w:num="1">
            <w:col w:w="11020"/>
          </w:cols>
          <w:pgMar w:left="240" w:top="459" w:right="639" w:bottom="1440" w:gutter="0" w:footer="0" w:header="0"/>
          <w:type w:val="continuous"/>
        </w:sectPr>
      </w:pP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At our request, the underwriters have reserved up to 5% of the shares being offered by this prospectus for sale at the initial public offering price to certain of our directors, officers,</w:t>
      </w:r>
    </w:p>
    <w:p>
      <w:pPr>
        <w:spacing w:after="0" w:line="1" w:lineRule="exact"/>
        <w:rPr>
          <w:sz w:val="20"/>
          <w:szCs w:val="20"/>
          <w:color w:val="auto"/>
        </w:rPr>
      </w:pPr>
    </w:p>
    <w:p>
      <w:pPr>
        <w:sectPr>
          <w:pgSz w:w="11900" w:h="16838" w:orient="portrait"/>
          <w:cols w:equalWidth="0" w:num="2">
            <w:col w:w="5200" w:space="720"/>
            <w:col w:w="5100"/>
          </w:cols>
          <w:pgMar w:left="240" w:top="459" w:right="639" w:bottom="1440" w:gutter="0" w:footer="0" w:header="0"/>
          <w:type w:val="continuous"/>
        </w:sectPr>
      </w:pPr>
    </w:p>
    <w:p>
      <w:pPr>
        <w:ind w:left="5920"/>
        <w:spacing w:after="0" w:line="232" w:lineRule="auto"/>
        <w:rPr>
          <w:sz w:val="20"/>
          <w:szCs w:val="20"/>
          <w:color w:val="auto"/>
        </w:rPr>
      </w:pPr>
      <w:r>
        <w:rPr>
          <w:rFonts w:ascii="Arial" w:cs="Arial" w:eastAsia="Arial" w:hAnsi="Arial"/>
          <w:sz w:val="17"/>
          <w:szCs w:val="17"/>
          <w:color w:val="auto"/>
        </w:rPr>
        <w:t>employees, business associates and related persons. The</w:t>
      </w:r>
    </w:p>
    <w:p>
      <w:pPr>
        <w:ind w:left="5920"/>
        <w:spacing w:after="0"/>
        <w:rPr>
          <w:sz w:val="20"/>
          <w:szCs w:val="20"/>
          <w:color w:val="auto"/>
        </w:rPr>
      </w:pPr>
      <w:r>
        <w:rPr>
          <w:rFonts w:ascii="Arial" w:cs="Arial" w:eastAsia="Arial" w:hAnsi="Arial"/>
          <w:sz w:val="18"/>
          <w:szCs w:val="18"/>
          <w:color w:val="auto"/>
        </w:rPr>
        <w:t>number of shares available for sale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020"/>
          </w:cols>
          <w:pgMar w:left="240" w:top="459" w:right="6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27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55270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to the general public will be reduced by the number of directed</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shares purchased by participants in the program. Any directed</w:t>
      </w:r>
    </w:p>
    <w:p>
      <w:pPr>
        <w:ind w:left="5920"/>
        <w:spacing w:after="0"/>
        <w:rPr>
          <w:sz w:val="20"/>
          <w:szCs w:val="20"/>
          <w:color w:val="auto"/>
        </w:rPr>
      </w:pPr>
      <w:r>
        <w:rPr>
          <w:rFonts w:ascii="Arial" w:cs="Arial" w:eastAsia="Arial" w:hAnsi="Arial"/>
          <w:sz w:val="17"/>
          <w:szCs w:val="17"/>
          <w:color w:val="auto"/>
        </w:rPr>
        <w:t>shares not purchased will be offered by the underwriters to the</w:t>
      </w:r>
    </w:p>
    <w:p>
      <w:pPr>
        <w:spacing w:after="0" w:line="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general public on the same basis as all other shares offered.</w:t>
      </w:r>
    </w:p>
    <w:p>
      <w:pPr>
        <w:sectPr>
          <w:pgSz w:w="11900" w:h="16838" w:orient="portrait"/>
          <w:cols w:equalWidth="0" w:num="1">
            <w:col w:w="11020"/>
          </w:cols>
          <w:pgMar w:left="240" w:top="459" w:right="639" w:bottom="1440" w:gutter="0" w:footer="0" w:header="0"/>
        </w:sectPr>
      </w:pP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See “Risk Factors” beginning on page 12 and the other information included in this prospectus for a discussion of factors you should carefully consider before deciding to invest in our common stock.</w:t>
      </w:r>
    </w:p>
    <w:p>
      <w:pPr>
        <w:spacing w:after="0" w:line="107" w:lineRule="exact"/>
        <w:rPr>
          <w:sz w:val="20"/>
          <w:szCs w:val="20"/>
          <w:color w:val="auto"/>
        </w:rPr>
      </w:pPr>
    </w:p>
    <w:p>
      <w:pPr>
        <w:sectPr>
          <w:pgSz w:w="11900" w:h="16838" w:orient="portrait"/>
          <w:cols w:equalWidth="0" w:num="2">
            <w:col w:w="5200" w:space="720"/>
            <w:col w:w="51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Proposed symbol on the Nasdaq Global Select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“NGM”</w:t>
      </w:r>
    </w:p>
    <w:p>
      <w:pPr>
        <w:spacing w:after="0" w:line="211" w:lineRule="exact"/>
        <w:rPr>
          <w:sz w:val="20"/>
          <w:szCs w:val="20"/>
          <w:color w:val="auto"/>
        </w:rPr>
      </w:pPr>
    </w:p>
    <w:p>
      <w:pPr>
        <w:sectPr>
          <w:pgSz w:w="11900" w:h="16838" w:orient="portrait"/>
          <w:cols w:equalWidth="0" w:num="2">
            <w:col w:w="5200" w:space="720"/>
            <w:col w:w="5100"/>
          </w:cols>
          <w:pgMar w:left="240" w:top="459" w:right="639" w:bottom="1440" w:gutter="0" w:footer="0" w:header="0"/>
          <w:type w:val="continuous"/>
        </w:sectPr>
      </w:pPr>
    </w:p>
    <w:p>
      <w:pPr>
        <w:spacing w:after="0" w:line="25" w:lineRule="exact"/>
        <w:rPr>
          <w:sz w:val="20"/>
          <w:szCs w:val="20"/>
          <w:color w:val="auto"/>
        </w:rPr>
      </w:pPr>
    </w:p>
    <w:p>
      <w:pPr>
        <w:ind w:left="380" w:right="180" w:firstLine="533"/>
        <w:spacing w:after="0"/>
        <w:rPr>
          <w:sz w:val="20"/>
          <w:szCs w:val="20"/>
          <w:color w:val="auto"/>
        </w:rPr>
      </w:pPr>
      <w:r>
        <w:rPr>
          <w:rFonts w:ascii="Arial" w:cs="Arial" w:eastAsia="Arial" w:hAnsi="Arial"/>
          <w:sz w:val="18"/>
          <w:szCs w:val="18"/>
          <w:color w:val="auto"/>
        </w:rPr>
        <w:t>The number of shares of our common stock outstanding after the offering and the concurrent private placement to Merck is based on 54,205,356 shares of our common stock outstanding as of December 31, 2018 (including convertible preferred stock then outstanding on an as-converted basis), and excludes:</w:t>
      </w:r>
    </w:p>
    <w:p>
      <w:pPr>
        <w:spacing w:after="0" w:line="108" w:lineRule="exact"/>
        <w:rPr>
          <w:sz w:val="20"/>
          <w:szCs w:val="20"/>
          <w:color w:val="auto"/>
        </w:rPr>
      </w:pPr>
    </w:p>
    <w:p>
      <w:pPr>
        <w:ind w:left="1100" w:right="8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9,806,689 shares of our common stock issuable upon the exercise of stock options outstanding as of December 31, 2018 at a weighted-average exercise price of $5.86 per share;</w:t>
      </w:r>
    </w:p>
    <w:p>
      <w:pPr>
        <w:spacing w:after="0" w:line="102" w:lineRule="exact"/>
        <w:rPr>
          <w:rFonts w:ascii="Arial" w:cs="Arial" w:eastAsia="Arial" w:hAnsi="Arial"/>
          <w:sz w:val="18"/>
          <w:szCs w:val="18"/>
          <w:color w:val="auto"/>
        </w:rPr>
      </w:pPr>
    </w:p>
    <w:p>
      <w:pPr>
        <w:ind w:left="1100" w:right="18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1,550,250 shares of our common stock issuable upon the exercise of stock options granted after December 31, 2018 at an exercise price of $12.06 per share;</w:t>
      </w:r>
    </w:p>
    <w:p>
      <w:pPr>
        <w:spacing w:after="0" w:line="102" w:lineRule="exact"/>
        <w:rPr>
          <w:rFonts w:ascii="Arial" w:cs="Arial" w:eastAsia="Arial" w:hAnsi="Arial"/>
          <w:sz w:val="18"/>
          <w:szCs w:val="18"/>
          <w:color w:val="auto"/>
        </w:rPr>
      </w:pPr>
    </w:p>
    <w:p>
      <w:pPr>
        <w:ind w:left="1100" w:right="120" w:hanging="187"/>
        <w:spacing w:after="0" w:line="261"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91" w:lineRule="exact"/>
        <w:rPr>
          <w:rFonts w:ascii="Arial" w:cs="Arial" w:eastAsia="Arial" w:hAnsi="Arial"/>
          <w:sz w:val="17"/>
          <w:szCs w:val="17"/>
          <w:color w:val="auto"/>
        </w:rPr>
      </w:pPr>
    </w:p>
    <w:p>
      <w:pPr>
        <w:ind w:left="1100" w:right="340" w:hanging="187"/>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17,874,624 shares of our common stock reserved for future issuance under our amended and restated 2018 Plan, or the Restated 2018 Plan, which will become effective immediately prior to the completion of this offering, as well as any automatic increase in the number of shares of common stock reserved for future issuance under this benefit plan;</w:t>
      </w:r>
    </w:p>
    <w:p>
      <w:pPr>
        <w:spacing w:after="0" w:line="108" w:lineRule="exact"/>
        <w:rPr>
          <w:rFonts w:ascii="Arial" w:cs="Arial" w:eastAsia="Arial" w:hAnsi="Arial"/>
          <w:sz w:val="18"/>
          <w:szCs w:val="18"/>
          <w:color w:val="auto"/>
        </w:rPr>
      </w:pPr>
    </w:p>
    <w:p>
      <w:pPr>
        <w:ind w:left="1100" w:right="180" w:hanging="187"/>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1,000,000 shares of our common stock to be reserved for future issuance under our 2019 Employee Stock Purchase Plan, or the ESPP, which will become effective immediately prior to the completion of this offering, as well as any automatic increase in the number of shares of common stock reserved for future issuance under this benefit plan; and</w:t>
      </w:r>
    </w:p>
    <w:p>
      <w:pPr>
        <w:spacing w:after="0" w:line="108" w:lineRule="exact"/>
        <w:rPr>
          <w:rFonts w:ascii="Arial" w:cs="Arial" w:eastAsia="Arial" w:hAnsi="Arial"/>
          <w:sz w:val="18"/>
          <w:szCs w:val="18"/>
          <w:color w:val="auto"/>
        </w:rPr>
      </w:pPr>
    </w:p>
    <w:p>
      <w:pPr>
        <w:ind w:left="1100" w:right="12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36,751 shares of our common stock reserved for future issuance under our NGM Biopharmaceuticals Matching Plan, or the 401(k) Matching Plan, as of December 31, 2018.</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otherwise noted, we have presented the information in this prospectus based on the following assumptions:</w:t>
      </w:r>
    </w:p>
    <w:p>
      <w:pPr>
        <w:spacing w:after="0" w:line="117" w:lineRule="exact"/>
        <w:rPr>
          <w:sz w:val="20"/>
          <w:szCs w:val="20"/>
          <w:color w:val="auto"/>
        </w:rPr>
      </w:pPr>
    </w:p>
    <w:p>
      <w:pPr>
        <w:ind w:left="1100" w:right="40" w:hanging="187"/>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in accordance with our existing amended and restated certificate of incorporation, of all shares of convertible preferred stock outstanding as of December 31, 2018 into 47,267,466 shares of our common stock, which will occur immediately prior to the completion of this offering;</w:t>
      </w:r>
    </w:p>
    <w:p>
      <w:pPr>
        <w:spacing w:after="0" w:line="108" w:lineRule="exact"/>
        <w:rPr>
          <w:rFonts w:ascii="Arial" w:cs="Arial" w:eastAsia="Arial" w:hAnsi="Arial"/>
          <w:sz w:val="18"/>
          <w:szCs w:val="18"/>
          <w:color w:val="auto"/>
        </w:rPr>
      </w:pPr>
    </w:p>
    <w:p>
      <w:pPr>
        <w:ind w:left="1100" w:right="680" w:hanging="187"/>
        <w:spacing w:after="0" w:line="246"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one-for-two reverse stock split for our common stock and a proportional adjustment to the conversion ratio of our convertible preferred stock effected on March 22, 2019;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736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17367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120" w:hanging="187"/>
        <w:spacing w:after="0" w:line="246"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1,000,000 shares of our common stock in the offering;</w:t>
      </w:r>
    </w:p>
    <w:p>
      <w:pPr>
        <w:spacing w:after="0" w:line="102" w:lineRule="exact"/>
        <w:rPr>
          <w:rFonts w:ascii="Arial" w:cs="Arial" w:eastAsia="Arial" w:hAnsi="Arial"/>
          <w:sz w:val="18"/>
          <w:szCs w:val="18"/>
          <w:color w:val="auto"/>
        </w:rPr>
      </w:pPr>
    </w:p>
    <w:p>
      <w:pPr>
        <w:ind w:left="110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outstanding stock options; and</w:t>
      </w:r>
    </w:p>
    <w:p>
      <w:pPr>
        <w:spacing w:after="0" w:line="117" w:lineRule="exact"/>
        <w:rPr>
          <w:rFonts w:ascii="Arial" w:cs="Arial" w:eastAsia="Arial" w:hAnsi="Arial"/>
          <w:sz w:val="18"/>
          <w:szCs w:val="18"/>
          <w:color w:val="auto"/>
        </w:rPr>
      </w:pPr>
    </w:p>
    <w:p>
      <w:pPr>
        <w:ind w:left="110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with the Secretary of State of the State of Delaware and the adoption of our amended and restated bylaws, each of which will occur upon the completion of the offering.</w:t>
      </w:r>
    </w:p>
    <w:p>
      <w:pPr>
        <w:spacing w:after="0" w:line="203" w:lineRule="exact"/>
        <w:rPr>
          <w:sz w:val="20"/>
          <w:szCs w:val="20"/>
          <w:color w:val="auto"/>
        </w:rPr>
      </w:pPr>
    </w:p>
    <w:p>
      <w:pPr>
        <w:ind w:left="380" w:right="140" w:firstLine="533"/>
        <w:spacing w:after="0"/>
        <w:rPr>
          <w:sz w:val="20"/>
          <w:szCs w:val="20"/>
          <w:color w:val="auto"/>
        </w:rPr>
      </w:pPr>
      <w:r>
        <w:rPr>
          <w:rFonts w:ascii="Arial" w:cs="Arial" w:eastAsia="Arial" w:hAnsi="Arial"/>
          <w:sz w:val="18"/>
          <w:szCs w:val="18"/>
          <w:color w:val="auto"/>
        </w:rPr>
        <w:t>Entities affiliated with The Column Group, an existing stockholder, have agreed to purchase 1,875,000 shares of our common stock in this offering at the initial public offering price. The underwriters will receive the same underwriting discount on any shares purchased by these entities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9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0984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4" w:lineRule="exact"/>
        <w:rPr>
          <w:sz w:val="20"/>
          <w:szCs w:val="20"/>
          <w:color w:val="auto"/>
        </w:rPr>
      </w:pPr>
    </w:p>
    <w:p>
      <w:pPr>
        <w:jc w:val="both"/>
        <w:ind w:left="380" w:right="100" w:firstLine="533"/>
        <w:spacing w:after="0"/>
        <w:rPr>
          <w:sz w:val="20"/>
          <w:szCs w:val="20"/>
          <w:color w:val="auto"/>
        </w:rPr>
      </w:pPr>
      <w:r>
        <w:rPr>
          <w:rFonts w:ascii="Arial" w:cs="Arial" w:eastAsia="Arial" w:hAnsi="Arial"/>
          <w:sz w:val="18"/>
          <w:szCs w:val="18"/>
          <w:color w:val="auto"/>
        </w:rPr>
        <w:t>The following tables summarize our financial data and should be read together with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203" w:lineRule="exact"/>
        <w:rPr>
          <w:sz w:val="20"/>
          <w:szCs w:val="20"/>
          <w:color w:val="auto"/>
        </w:rPr>
      </w:pPr>
    </w:p>
    <w:p>
      <w:pPr>
        <w:jc w:val="both"/>
        <w:ind w:left="380" w:right="240" w:firstLine="533"/>
        <w:spacing w:after="0"/>
        <w:rPr>
          <w:sz w:val="20"/>
          <w:szCs w:val="20"/>
          <w:color w:val="auto"/>
        </w:rPr>
      </w:pPr>
      <w:r>
        <w:rPr>
          <w:rFonts w:ascii="Arial" w:cs="Arial" w:eastAsia="Arial" w:hAnsi="Arial"/>
          <w:sz w:val="18"/>
          <w:szCs w:val="18"/>
          <w:color w:val="auto"/>
        </w:rPr>
        <w:t>We have derived the summary consolidated statement of operations data for the years ended December 31, 2017 and 2018 from our audited consolidated financial statements included elsewhere in this prospectus. Our historical results are not necessarily indicative of the results that should be expected in the future.</w:t>
      </w:r>
    </w:p>
    <w:p>
      <w:pPr>
        <w:spacing w:after="0" w:line="217"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8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42"/>
        </w:trPr>
        <w:tc>
          <w:tcPr>
            <w:tcW w:w="7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4"/>
          </w:tcPr>
          <w:p>
            <w:pPr>
              <w:jc w:val="center"/>
              <w:ind w:right="31"/>
              <w:spacing w:after="0" w:line="143" w:lineRule="exact"/>
              <w:rPr>
                <w:sz w:val="20"/>
                <w:szCs w:val="20"/>
                <w:color w:val="auto"/>
              </w:rPr>
            </w:pPr>
            <w:r>
              <w:rPr>
                <w:rFonts w:ascii="Arial" w:cs="Arial" w:eastAsia="Arial" w:hAnsi="Arial"/>
                <w:sz w:val="14"/>
                <w:szCs w:val="14"/>
                <w:b w:val="1"/>
                <w:bCs w:val="1"/>
                <w:color w:val="auto"/>
              </w:rPr>
              <w:t>(in thousands, except share and</w:t>
            </w:r>
          </w:p>
        </w:tc>
        <w:tc>
          <w:tcPr>
            <w:tcW w:w="120" w:type="dxa"/>
            <w:vAlign w:val="bottom"/>
          </w:tcPr>
          <w:p>
            <w:pPr>
              <w:spacing w:after="0"/>
              <w:rPr>
                <w:sz w:val="12"/>
                <w:szCs w:val="12"/>
                <w:color w:val="auto"/>
              </w:rPr>
            </w:pPr>
          </w:p>
        </w:tc>
      </w:tr>
      <w:tr>
        <w:trPr>
          <w:trHeight w:val="175"/>
        </w:trPr>
        <w:tc>
          <w:tcPr>
            <w:tcW w:w="7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per share amounts)</w:t>
            </w:r>
          </w:p>
        </w:tc>
      </w:tr>
      <w:tr>
        <w:trPr>
          <w:trHeight w:val="203"/>
        </w:trPr>
        <w:tc>
          <w:tcPr>
            <w:tcW w:w="7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Related party revenue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77,141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108,665</w:t>
            </w: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8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79,736</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95,714</w:t>
            </w:r>
          </w:p>
        </w:tc>
      </w:tr>
      <w:tr>
        <w:trPr>
          <w:trHeight w:val="203"/>
        </w:trPr>
        <w:tc>
          <w:tcPr>
            <w:tcW w:w="780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52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rPr>
              <w:t>14,830</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17,265</w:t>
            </w:r>
          </w:p>
        </w:tc>
      </w:tr>
      <w:tr>
        <w:trPr>
          <w:trHeight w:val="27"/>
        </w:trPr>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80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94,566</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112,979</w:t>
            </w:r>
          </w:p>
        </w:tc>
      </w:tr>
      <w:tr>
        <w:trPr>
          <w:trHeight w:val="20"/>
        </w:trPr>
        <w:tc>
          <w:tcPr>
            <w:tcW w:w="7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520" w:type="dxa"/>
            <w:vAlign w:val="bottom"/>
            <w:gridSpan w:val="2"/>
          </w:tcPr>
          <w:p>
            <w:pPr>
              <w:jc w:val="right"/>
              <w:ind w:right="548"/>
              <w:spacing w:after="0"/>
              <w:rPr>
                <w:sz w:val="20"/>
                <w:szCs w:val="20"/>
                <w:color w:val="auto"/>
              </w:rPr>
            </w:pPr>
            <w:r>
              <w:rPr>
                <w:rFonts w:ascii="Arial" w:cs="Arial" w:eastAsia="Arial" w:hAnsi="Arial"/>
                <w:sz w:val="18"/>
                <w:szCs w:val="18"/>
                <w:color w:val="auto"/>
              </w:rPr>
              <w:t>(17,425)</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(4,314)</w:t>
            </w:r>
          </w:p>
        </w:tc>
      </w:tr>
      <w:tr>
        <w:trPr>
          <w:trHeight w:val="203"/>
        </w:trPr>
        <w:tc>
          <w:tcPr>
            <w:tcW w:w="7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3,622</w:t>
            </w:r>
          </w:p>
        </w:tc>
      </w:tr>
      <w:tr>
        <w:trPr>
          <w:trHeight w:val="203"/>
        </w:trPr>
        <w:tc>
          <w:tcPr>
            <w:tcW w:w="78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152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(152)</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199</w:t>
            </w:r>
          </w:p>
        </w:tc>
      </w:tr>
      <w:tr>
        <w:trPr>
          <w:trHeight w:val="27"/>
        </w:trPr>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 before taxes</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(15,219)</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(493)</w:t>
            </w:r>
          </w:p>
        </w:tc>
      </w:tr>
      <w:tr>
        <w:trPr>
          <w:trHeight w:val="203"/>
        </w:trPr>
        <w:tc>
          <w:tcPr>
            <w:tcW w:w="7800" w:type="dxa"/>
            <w:vAlign w:val="bottom"/>
          </w:tcPr>
          <w:p>
            <w:pPr>
              <w:ind w:left="20"/>
              <w:spacing w:after="0" w:line="202" w:lineRule="exact"/>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17"/>
                <w:szCs w:val="17"/>
                <w:color w:val="auto"/>
              </w:rPr>
            </w:pPr>
          </w:p>
        </w:tc>
        <w:tc>
          <w:tcPr>
            <w:tcW w:w="152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(1,060)</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(14,159)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(493)</w:t>
            </w:r>
          </w:p>
        </w:tc>
      </w:tr>
      <w:tr>
        <w:trPr>
          <w:trHeight w:val="20"/>
        </w:trPr>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00" w:type="dxa"/>
            <w:vAlign w:val="bottom"/>
          </w:tcPr>
          <w:p>
            <w:pPr>
              <w:ind w:left="20"/>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48"/>
              <w:spacing w:after="0" w:line="196" w:lineRule="exact"/>
              <w:rPr>
                <w:sz w:val="20"/>
                <w:szCs w:val="20"/>
                <w:color w:val="auto"/>
              </w:rPr>
            </w:pPr>
            <w:r>
              <w:rPr>
                <w:rFonts w:ascii="Arial" w:cs="Arial" w:eastAsia="Arial" w:hAnsi="Arial"/>
                <w:sz w:val="18"/>
                <w:szCs w:val="18"/>
                <w:color w:val="auto"/>
              </w:rPr>
              <w:t>(2.37)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(0.08)</w:t>
            </w:r>
          </w:p>
        </w:tc>
      </w:tr>
      <w:tr>
        <w:trPr>
          <w:trHeight w:val="20"/>
        </w:trPr>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shares used to compute net loss per common share, basic and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diluted(1)</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8"/>
              <w:spacing w:after="0" w:line="203" w:lineRule="exact"/>
              <w:rPr>
                <w:sz w:val="20"/>
                <w:szCs w:val="20"/>
                <w:color w:val="auto"/>
              </w:rPr>
            </w:pPr>
            <w:r>
              <w:rPr>
                <w:rFonts w:ascii="Arial" w:cs="Arial" w:eastAsia="Arial" w:hAnsi="Arial"/>
                <w:sz w:val="18"/>
                <w:szCs w:val="18"/>
                <w:color w:val="auto"/>
              </w:rPr>
              <w:t>5,961,767</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6,383,751</w:t>
            </w:r>
          </w:p>
        </w:tc>
      </w:tr>
      <w:tr>
        <w:trPr>
          <w:trHeight w:val="20"/>
        </w:trPr>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00" w:type="dxa"/>
            <w:vAlign w:val="bottom"/>
          </w:tcPr>
          <w:p>
            <w:pPr>
              <w:ind w:left="20"/>
              <w:spacing w:after="0" w:line="196" w:lineRule="exact"/>
              <w:rPr>
                <w:sz w:val="20"/>
                <w:szCs w:val="20"/>
                <w:color w:val="auto"/>
              </w:rPr>
            </w:pPr>
            <w:r>
              <w:rPr>
                <w:rFonts w:ascii="Arial" w:cs="Arial" w:eastAsia="Arial" w:hAnsi="Arial"/>
                <w:sz w:val="18"/>
                <w:szCs w:val="18"/>
                <w:color w:val="auto"/>
              </w:rPr>
              <w:t>Pro forma net loss per common share, basic and diluted (unaudited)(1)</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(0.01)</w:t>
            </w:r>
          </w:p>
        </w:tc>
      </w:tr>
      <w:tr>
        <w:trPr>
          <w:trHeight w:val="20"/>
        </w:trPr>
        <w:tc>
          <w:tcPr>
            <w:tcW w:w="7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shares used to compute pro forma net loss per common share, basic</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and diluted (unaudited)(1)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53,651,217</w:t>
            </w:r>
          </w:p>
        </w:tc>
      </w:tr>
      <w:tr>
        <w:trPr>
          <w:trHeight w:val="20"/>
        </w:trPr>
        <w:tc>
          <w:tcPr>
            <w:tcW w:w="7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right="200" w:hanging="53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885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28854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 2018</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6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ind w:left="140"/>
              <w:spacing w:after="0" w:line="143"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r>
      <w:tr>
        <w:trPr>
          <w:trHeight w:val="175"/>
        </w:trPr>
        <w:tc>
          <w:tcPr>
            <w:tcW w:w="660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Pro Forma(1)</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 Adjusted(2)</w:t>
            </w:r>
          </w:p>
        </w:tc>
      </w:tr>
      <w:tr>
        <w:trPr>
          <w:trHeight w:val="183"/>
        </w:trPr>
        <w:tc>
          <w:tcPr>
            <w:tcW w:w="66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9"/>
              </w:rPr>
              <w:t>$ 206,633</w:t>
            </w:r>
          </w:p>
        </w:tc>
        <w:tc>
          <w:tcPr>
            <w:tcW w:w="192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  206,633</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   368,280</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192,096</w:t>
            </w:r>
          </w:p>
        </w:tc>
        <w:tc>
          <w:tcPr>
            <w:tcW w:w="192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192,096</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353,743</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246,085</w:t>
            </w:r>
          </w:p>
        </w:tc>
        <w:tc>
          <w:tcPr>
            <w:tcW w:w="192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246,085</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407,732</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liabilities</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59,406</w:t>
            </w:r>
          </w:p>
        </w:tc>
        <w:tc>
          <w:tcPr>
            <w:tcW w:w="192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59,208</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59,208</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198</w:t>
            </w:r>
          </w:p>
        </w:tc>
        <w:tc>
          <w:tcPr>
            <w:tcW w:w="420" w:type="dxa"/>
            <w:vAlign w:val="bottom"/>
          </w:tcPr>
          <w:p>
            <w:pPr>
              <w:spacing w:after="0"/>
              <w:rPr>
                <w:sz w:val="17"/>
                <w:szCs w:val="17"/>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Convertible preferred stock</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294,874</w:t>
            </w:r>
          </w:p>
        </w:tc>
        <w:tc>
          <w:tcPr>
            <w:tcW w:w="4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(147,193)</w:t>
            </w:r>
          </w:p>
        </w:tc>
        <w:tc>
          <w:tcPr>
            <w:tcW w:w="19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(147,193)</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(147,193)</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stockholders’ equity (deficit)</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(108,195)</w:t>
            </w:r>
          </w:p>
        </w:tc>
        <w:tc>
          <w:tcPr>
            <w:tcW w:w="192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186,877</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348,524</w:t>
            </w:r>
          </w:p>
        </w:tc>
      </w:tr>
    </w:tbl>
    <w:p>
      <w:pPr>
        <w:spacing w:after="0" w:line="188" w:lineRule="exact"/>
        <w:rPr>
          <w:sz w:val="20"/>
          <w:szCs w:val="20"/>
          <w:color w:val="auto"/>
        </w:rPr>
      </w:pPr>
    </w:p>
    <w:p>
      <w:pPr>
        <w:ind w:left="920" w:right="60" w:hanging="534"/>
        <w:spacing w:after="0" w:line="234"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 forma column reflects the automatic conversion of all outstanding shares of our convertible preferred stock into shares of our common stock immediately prior to the completion of this offering and the reclassification to additional paid-in capital of our Series A convertible preferred stock warrant liability in connection with the conversion of our outstanding Series A convertible preferred stock warrant into a common stock warrant upon the completion of this offering.</w:t>
      </w:r>
    </w:p>
    <w:p>
      <w:pPr>
        <w:spacing w:after="0" w:line="3" w:lineRule="exact"/>
        <w:rPr>
          <w:rFonts w:ascii="Arial" w:cs="Arial" w:eastAsia="Arial" w:hAnsi="Arial"/>
          <w:sz w:val="18"/>
          <w:szCs w:val="18"/>
          <w:color w:val="auto"/>
        </w:rPr>
      </w:pPr>
    </w:p>
    <w:p>
      <w:pPr>
        <w:ind w:left="920" w:right="340" w:hanging="53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 forma as adjusted column further reflects the receipt of the net proceeds from the sale of 10,788,350 shares of common stock in this offering and the concurrent private placement to Merck at the initial public offering price of $16.00 per share, and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200" w:right="60" w:firstLine="551"/>
        <w:spacing w:after="0" w:line="242" w:lineRule="auto"/>
        <w:rPr>
          <w:sz w:val="20"/>
          <w:szCs w:val="20"/>
          <w:color w:val="auto"/>
        </w:rPr>
      </w:pPr>
      <w:r>
        <w:rPr>
          <w:rFonts w:ascii="Arial" w:cs="Arial" w:eastAsia="Arial" w:hAnsi="Arial"/>
          <w:sz w:val="18"/>
          <w:szCs w:val="18"/>
          <w:i w:val="1"/>
          <w:iCs w:val="1"/>
          <w:color w:val="auto"/>
        </w:rPr>
        <w:t>Investment in our common stock involves a high degree of risk and uncertainty. You should carefully consider each of the risks and uncertainties described below before you decide to buy our common stock. You should also refer to the other information in this prospectus, including our consolidated financial statements and related notes. If any of the following risks and uncertainties materialize, our business, financial condition, liquidity and results of operations could be materially and adversely affected. This could cause the trading price of our common stock to decline, and you could lose all or part of your investment.</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2"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are a clinical-stage biopharmaceutical company that was incorporated in December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period since commencing operations in early 2008. Our net loss was $14.2 million and $0.5 million for the years ended December 31, 2017 and 2018, respectively. As of December 31, 2018, we had an accumulated deficit of $147.2 million.</w:t>
      </w:r>
    </w:p>
    <w:p>
      <w:pPr>
        <w:spacing w:after="0" w:line="20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preclinical testing and clinical trial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Substantially all of our revenue for recent periods has been received from a single collaboration partner.</w:t>
      </w:r>
    </w:p>
    <w:p>
      <w:pPr>
        <w:spacing w:after="0" w:line="126" w:lineRule="exact"/>
        <w:rPr>
          <w:sz w:val="20"/>
          <w:szCs w:val="20"/>
          <w:color w:val="auto"/>
        </w:rPr>
      </w:pPr>
    </w:p>
    <w:p>
      <w:pPr>
        <w:ind w:left="200" w:right="180" w:firstLine="551"/>
        <w:spacing w:after="0" w:line="234" w:lineRule="auto"/>
        <w:rPr>
          <w:sz w:val="20"/>
          <w:szCs w:val="20"/>
          <w:color w:val="auto"/>
        </w:rPr>
      </w:pPr>
      <w:r>
        <w:rPr>
          <w:rFonts w:ascii="Arial" w:cs="Arial" w:eastAsia="Arial" w:hAnsi="Arial"/>
          <w:sz w:val="18"/>
          <w:szCs w:val="18"/>
          <w:color w:val="auto"/>
        </w:rPr>
        <w:t>During the past two years, substantially all of our revenue was from our collaboration partner, Merck. We will require substantial additional capital to achieve our development and commercialization goals for NGM282, for any Merck licensed programs that we opt to co-develop and for any programs that Merck does not opt to develop and that we choose to develop, such as NGM386 and/or NGM395, for which Merck has given us notice of its intent to terminate the license and that we are considering whether to advance pending study results. Under the Merck collaboration, Merck provides us with reimbursement for research and development activities of at least</w:t>
      </w:r>
    </w:p>
    <w:p>
      <w:pPr>
        <w:spacing w:after="0" w:line="4" w:lineRule="exact"/>
        <w:rPr>
          <w:sz w:val="20"/>
          <w:szCs w:val="20"/>
          <w:color w:val="auto"/>
        </w:rPr>
      </w:pPr>
    </w:p>
    <w:p>
      <w:pPr>
        <w:ind w:left="200" w:right="500"/>
        <w:spacing w:after="0" w:line="246" w:lineRule="auto"/>
        <w:rPr>
          <w:sz w:val="20"/>
          <w:szCs w:val="20"/>
          <w:color w:val="auto"/>
        </w:rPr>
      </w:pPr>
      <w:r>
        <w:rPr>
          <w:rFonts w:ascii="Arial" w:cs="Arial" w:eastAsia="Arial" w:hAnsi="Arial"/>
          <w:sz w:val="18"/>
          <w:szCs w:val="18"/>
          <w:color w:val="auto"/>
        </w:rPr>
        <w:t>$50 million per year, plus additional amounts up to agreed upon annual caps, if certain conditions are met; however, we may require additional funding to advance our research and development affairs on our planned timeline, or at all. If</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our Merck collaboration were to be terminated, or if the annual cap under the Merck collaboration is insufficient, we could require significant additional capital in order to proceed with development and commercialization of our product candidates, or we may require additional partnering in order to help fund such development and commercialization. Merck has exercised its option to extend the research and early development program through March 17, 2022 and has the right to extend it again through March 17, 2024. If adequate funds or partners are not available to us on a timely basis, on favorable terms or at all, we may be required to delay, limit, reduce or terminate our research and development efforts or other operations. See “Business—Our Collaboration with Merck.”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26"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and future partners’ ability to:</w:t>
      </w:r>
    </w:p>
    <w:p>
      <w:pPr>
        <w:spacing w:after="0" w:line="114" w:lineRule="exact"/>
        <w:rPr>
          <w:sz w:val="20"/>
          <w:szCs w:val="20"/>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17"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2" w:lineRule="exact"/>
        <w:rPr>
          <w:rFonts w:ascii="Arial" w:cs="Arial" w:eastAsia="Arial" w:hAnsi="Arial"/>
          <w:sz w:val="18"/>
          <w:szCs w:val="18"/>
          <w:color w:val="auto"/>
        </w:rPr>
      </w:pPr>
    </w:p>
    <w:p>
      <w:pPr>
        <w:ind w:left="960" w:right="1020" w:hanging="216"/>
        <w:spacing w:after="0" w:line="246"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 and commercialize future product candidates for which we obtain marketing approval, if any, and, if launched independently, successfully establish a sales force, marketing and distribution infrastructure;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2"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205"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become profitable or do not sustain profitability on a continuing basis, then we may be unable to continue our operations at planned levels and be forced to reduce our operations.</w:t>
      </w:r>
    </w:p>
    <w:p>
      <w:pPr>
        <w:spacing w:after="0" w:line="283"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b w:val="1"/>
          <w:bCs w:val="1"/>
          <w:i w:val="1"/>
          <w:iCs w:val="1"/>
          <w:color w:val="auto"/>
        </w:rPr>
        <w:t>We may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NGM282, NGM386 and NGM395, advance in clinical development. We believe that the net proceeds from this offering and the concurrent private placement to Merck, together with our existing cash, cash equivalents and short-term marketable securities and funding we expect to receive under our existing collaboration agreement,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112" w:lineRule="exact"/>
        <w:rPr>
          <w:sz w:val="20"/>
          <w:szCs w:val="20"/>
          <w:color w:val="auto"/>
        </w:rPr>
      </w:pPr>
    </w:p>
    <w:p>
      <w:pPr>
        <w:ind w:left="960" w:right="200" w:hanging="216"/>
        <w:spacing w:after="0" w:line="246"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and clinical studies for our product candidates and future product candidates we may develop;</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a proof-of-concept study in humans;</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in the collaboration agreement) or terminates a program that is licensed;</w:t>
      </w:r>
    </w:p>
    <w:p>
      <w:pPr>
        <w:spacing w:after="0" w:line="102"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its collaboration with us, which would trigger an extension payment to us;</w:t>
      </w:r>
    </w:p>
    <w:p>
      <w:pPr>
        <w:spacing w:after="0" w:line="102" w:lineRule="exact"/>
        <w:rPr>
          <w:rFonts w:ascii="Arial" w:cs="Arial" w:eastAsia="Arial" w:hAnsi="Arial"/>
          <w:sz w:val="18"/>
          <w:szCs w:val="18"/>
          <w:color w:val="auto"/>
        </w:rPr>
      </w:pPr>
    </w:p>
    <w:p>
      <w:pPr>
        <w:ind w:left="960" w:right="3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change their requirements on studies that had previously been agreed to;</w:t>
      </w:r>
    </w:p>
    <w:p>
      <w:pPr>
        <w:spacing w:after="0" w:line="108" w:lineRule="exact"/>
        <w:rPr>
          <w:rFonts w:ascii="Arial" w:cs="Arial" w:eastAsia="Arial" w:hAnsi="Arial"/>
          <w:sz w:val="18"/>
          <w:szCs w:val="18"/>
          <w:color w:val="auto"/>
        </w:rPr>
      </w:pPr>
    </w:p>
    <w:p>
      <w:pPr>
        <w:jc w:val="both"/>
        <w:ind w:left="960" w:right="14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960" w:right="440" w:hanging="216"/>
        <w:spacing w:after="0" w:line="246"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17" w:lineRule="exact"/>
        <w:rPr>
          <w:rFonts w:ascii="Arial" w:cs="Arial" w:eastAsia="Arial" w:hAnsi="Arial"/>
          <w:sz w:val="18"/>
          <w:szCs w:val="18"/>
          <w:color w:val="auto"/>
        </w:rPr>
      </w:pPr>
    </w:p>
    <w:p>
      <w:pPr>
        <w:ind w:left="960" w:right="640" w:hanging="216"/>
        <w:spacing w:after="0" w:line="246"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Unless and until we can generate a sufficient amount of revenue from our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future product candidates. If we do not raise additional capital, we may not be able to expand our operations or otherwise capitalize on our business opportunities, our business and financial condition will be negatively impacted and we may need to:</w:t>
      </w:r>
    </w:p>
    <w:p>
      <w:pPr>
        <w:spacing w:after="0" w:line="108" w:lineRule="exact"/>
        <w:rPr>
          <w:sz w:val="20"/>
          <w:szCs w:val="20"/>
          <w:color w:val="auto"/>
        </w:rPr>
      </w:pPr>
    </w:p>
    <w:p>
      <w:pPr>
        <w:ind w:left="960" w:right="300" w:hanging="216"/>
        <w:spacing w:after="0" w:line="24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102" w:lineRule="exact"/>
        <w:rPr>
          <w:rFonts w:ascii="Arial" w:cs="Arial" w:eastAsia="Arial" w:hAnsi="Arial"/>
          <w:sz w:val="18"/>
          <w:szCs w:val="18"/>
          <w:color w:val="auto"/>
        </w:rPr>
      </w:pPr>
    </w:p>
    <w:p>
      <w:pPr>
        <w:ind w:left="960" w:right="300" w:hanging="216"/>
        <w:spacing w:after="0" w:line="24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102"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product candidates that we otherwise would seek to develop or commercialize ourselves.</w:t>
      </w:r>
    </w:p>
    <w:p>
      <w:pPr>
        <w:spacing w:after="0" w:line="197"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97"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288" w:lineRule="exact"/>
        <w:rPr>
          <w:sz w:val="20"/>
          <w:szCs w:val="20"/>
          <w:color w:val="auto"/>
        </w:rPr>
      </w:pPr>
    </w:p>
    <w:p>
      <w:pPr>
        <w:ind w:left="200" w:right="360"/>
        <w:spacing w:after="0" w:line="253" w:lineRule="auto"/>
        <w:rPr>
          <w:sz w:val="20"/>
          <w:szCs w:val="20"/>
          <w:color w:val="auto"/>
        </w:rPr>
      </w:pPr>
      <w:r>
        <w:rPr>
          <w:rFonts w:ascii="Arial" w:cs="Arial" w:eastAsia="Arial" w:hAnsi="Arial"/>
          <w:sz w:val="18"/>
          <w:szCs w:val="18"/>
          <w:b w:val="1"/>
          <w:bCs w:val="1"/>
          <w:i w:val="1"/>
          <w:iCs w:val="1"/>
          <w:color w:val="auto"/>
        </w:rPr>
        <w:t>We plan to use current year operating losses and our federal and state net operating loss, or NOL, carryforwards to offset taxable income from revenue generated from operations including corporate collaborations. However, our ability to use NOL carryforwards could be limited.</w:t>
      </w:r>
    </w:p>
    <w:p>
      <w:pPr>
        <w:spacing w:after="0" w:line="8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this offering and subsequent shifts in our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61" w:lineRule="auto"/>
        <w:rPr>
          <w:sz w:val="20"/>
          <w:szCs w:val="20"/>
          <w:color w:val="auto"/>
        </w:rPr>
      </w:pPr>
      <w:r>
        <w:rPr>
          <w:rFonts w:ascii="Arial" w:cs="Arial" w:eastAsia="Arial" w:hAnsi="Arial"/>
          <w:sz w:val="17"/>
          <w:szCs w:val="17"/>
          <w:color w:val="auto"/>
        </w:rPr>
        <w:t>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200" w:right="1000"/>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and regulatory approvals, which could delay or prevent commercialization of our product candidates.</w:t>
      </w:r>
    </w:p>
    <w:p>
      <w:pPr>
        <w:spacing w:after="0" w:line="68" w:lineRule="exact"/>
        <w:rPr>
          <w:sz w:val="20"/>
          <w:szCs w:val="20"/>
          <w:color w:val="auto"/>
        </w:rPr>
      </w:pPr>
    </w:p>
    <w:p>
      <w:pPr>
        <w:jc w:val="both"/>
        <w:ind w:left="200" w:right="220" w:firstLine="551"/>
        <w:spacing w:after="0" w:line="261" w:lineRule="auto"/>
        <w:rPr>
          <w:sz w:val="20"/>
          <w:szCs w:val="20"/>
          <w:color w:val="auto"/>
        </w:rPr>
      </w:pPr>
      <w:r>
        <w:rPr>
          <w:rFonts w:ascii="Arial" w:cs="Arial" w:eastAsia="Arial" w:hAnsi="Arial"/>
          <w:sz w:val="17"/>
          <w:szCs w:val="17"/>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We or our collaborator, if any, may delay, suspend or terminate clinical trials at any time for reasons including:</w:t>
      </w:r>
    </w:p>
    <w:p>
      <w:pPr>
        <w:spacing w:after="0" w:line="92" w:lineRule="exact"/>
        <w:rPr>
          <w:sz w:val="20"/>
          <w:szCs w:val="20"/>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960" w:right="320" w:hanging="216"/>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and EMA for the development of NASH that issued in 2018;</w:t>
      </w:r>
    </w:p>
    <w:p>
      <w:pPr>
        <w:spacing w:after="0" w:line="108"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or poorly executed testing or changes in required endpoints by the FDA or comparable foreign authorities;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FDA inspection and review of a clinical trial site or records of any clinical or preclinical investigation;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2"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2"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We have no experience in conducting the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will be active,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289" w:lineRule="exact"/>
        <w:rPr>
          <w:sz w:val="20"/>
          <w:szCs w:val="20"/>
          <w:color w:val="auto"/>
        </w:rPr>
      </w:pPr>
    </w:p>
    <w:p>
      <w:pPr>
        <w:jc w:val="both"/>
        <w:ind w:left="200" w:right="240"/>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83" w:lineRule="exact"/>
        <w:rPr>
          <w:sz w:val="20"/>
          <w:szCs w:val="20"/>
          <w:color w:val="auto"/>
        </w:rPr>
      </w:pPr>
    </w:p>
    <w:p>
      <w:pPr>
        <w:ind w:left="200" w:right="20" w:firstLine="551"/>
        <w:spacing w:after="0" w:line="253" w:lineRule="auto"/>
        <w:rPr>
          <w:sz w:val="20"/>
          <w:szCs w:val="20"/>
          <w:color w:val="auto"/>
        </w:rPr>
      </w:pPr>
      <w:r>
        <w:rPr>
          <w:rFonts w:ascii="Arial" w:cs="Arial" w:eastAsia="Arial" w:hAnsi="Arial"/>
          <w:sz w:val="17"/>
          <w:szCs w:val="17"/>
          <w:color w:val="auto"/>
        </w:rPr>
        <w:t>Before obtaining marketing approval from regulatory authorities for the sale of future product candidates, we or our partners must conduct extensive preclinical studies and clinical trials to demonstrate the safety and efficacy of the product candidates in humans. Preclinical studies and clinical trials are expensive, will take several years to complete and may not yield results that support further clinical development or product approvals. A failure of one or more clinical trials can occur at any stage of testing.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92"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NGM282, in Phase 1 clinical trials for NGM313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8"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acceptable to the FDA in our trials. The need for chronic administration also increases the risk that our clinical drug development programs may not uncover all possible adverse events that patients who take our products may eventually experience. The number of patients exposed to our product treatments and the average exposure time in the clinical development programs may be inadequate to detect rare adverse events or chance findings that may only be detected once our products are administered to more patients and for greater periods of time.</w:t>
      </w:r>
    </w:p>
    <w:p>
      <w:pPr>
        <w:spacing w:after="0" w:line="203" w:lineRule="exact"/>
        <w:rPr>
          <w:sz w:val="20"/>
          <w:szCs w:val="20"/>
          <w:color w:val="auto"/>
        </w:rPr>
      </w:pPr>
    </w:p>
    <w:p>
      <w:pPr>
        <w:ind w:left="200" w:right="280" w:firstLine="551"/>
        <w:spacing w:after="0" w:line="246" w:lineRule="auto"/>
        <w:rPr>
          <w:sz w:val="20"/>
          <w:szCs w:val="20"/>
          <w:color w:val="auto"/>
        </w:rPr>
      </w:pPr>
      <w:r>
        <w:rPr>
          <w:rFonts w:ascii="Arial" w:cs="Arial" w:eastAsia="Arial" w:hAnsi="Arial"/>
          <w:sz w:val="18"/>
          <w:szCs w:val="18"/>
          <w:color w:val="auto"/>
        </w:rPr>
        <w:t>If we are unable to successfully discover, develop or enable our partners to develop drugs that are effective and safe in humans, we will not have a viable business.</w:t>
      </w:r>
    </w:p>
    <w:p>
      <w:pPr>
        <w:spacing w:after="0" w:line="283"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The Phase 2 clinical trial of NGM282 that has produced NASH histology data is ongoing, and the clinical data produced to date is preliminary and has not been subjected to quality control procedures.</w:t>
      </w:r>
    </w:p>
    <w:p>
      <w:pPr>
        <w:spacing w:after="0" w:line="68" w:lineRule="exact"/>
        <w:rPr>
          <w:sz w:val="20"/>
          <w:szCs w:val="20"/>
          <w:color w:val="auto"/>
        </w:rPr>
      </w:pPr>
    </w:p>
    <w:p>
      <w:pPr>
        <w:ind w:left="200" w:right="640" w:firstLine="551"/>
        <w:spacing w:after="0" w:line="246" w:lineRule="auto"/>
        <w:rPr>
          <w:sz w:val="20"/>
          <w:szCs w:val="20"/>
          <w:color w:val="auto"/>
        </w:rPr>
      </w:pPr>
      <w:r>
        <w:rPr>
          <w:rFonts w:ascii="Arial" w:cs="Arial" w:eastAsia="Arial" w:hAnsi="Arial"/>
          <w:sz w:val="18"/>
          <w:szCs w:val="18"/>
          <w:color w:val="auto"/>
        </w:rPr>
        <w:t>We have an ongoing, Phase 2 clinical trial of NGM282 in NASH. Until the final cohort of the NGM282 Phase 2 clinical trial is completed, we are unable to perform typical quality control procedures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on the data produced in this trial to ensure its accuracy. While we believe the data available to date is accurate, until such time as the final quality control procedures are performed it should be regarded as preliminary. Differences between preliminary data and final data may lead us to make different operational decisions regarding or incur additional expenses for the development of NGM282 than we otherwise would if final data was available. Additionally, our business and prospects depend on the development of this program, and if final data is less promising than the preliminary data suggests, our business and prospects could be adversely affected.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26" w:lineRule="exact"/>
        <w:rPr>
          <w:sz w:val="20"/>
          <w:szCs w:val="20"/>
          <w:color w:val="auto"/>
        </w:rPr>
      </w:pPr>
    </w:p>
    <w:p>
      <w:pPr>
        <w:ind w:left="200" w:right="20" w:firstLine="551"/>
        <w:spacing w:after="0" w:line="250" w:lineRule="auto"/>
        <w:rPr>
          <w:sz w:val="20"/>
          <w:szCs w:val="20"/>
          <w:color w:val="auto"/>
        </w:rPr>
      </w:pPr>
      <w:r>
        <w:rPr>
          <w:rFonts w:ascii="Arial" w:cs="Arial" w:eastAsia="Arial" w:hAnsi="Arial"/>
          <w:sz w:val="17"/>
          <w:szCs w:val="17"/>
          <w:color w:val="auto"/>
        </w:rPr>
        <w:t>Success in preclinical studies and earlier-stage clinical trials does not ensure that later clinical trials will generate the same results or otherwise provide adequate data to demonstrate the effectiveness and safety of our product candidates.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8"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6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Conducting clinical studies for any of our drug candidates for approval in the United States requires filing an IND application and reaching agreement with the FDA on clinical protocols, finding appropriate clinical sites and clinical investigators, securing approvals for such studies from the institutional review board at each such site, manufacturing clinical quantities of drug candidates and supplying drug product to clinical sites. Currently, we have multiple active INDs with the FDA in the United States, including for NGM282 for NASH and PBC, an active Clinical Trials Notification, or CTN, in Australia for NGM120 and an active Clinical Trial Authorisation in the United Kingdom from the Medicines and Healthcare Products Regulatory Agency for NGM217 for diabetes.</w:t>
      </w:r>
    </w:p>
    <w:p>
      <w:pPr>
        <w:spacing w:after="0" w:line="205" w:lineRule="exact"/>
        <w:rPr>
          <w:sz w:val="20"/>
          <w:szCs w:val="20"/>
          <w:color w:val="auto"/>
        </w:rPr>
      </w:pPr>
    </w:p>
    <w:p>
      <w:pPr>
        <w:ind w:left="200" w:right="280" w:firstLine="551"/>
        <w:spacing w:after="0" w:line="237"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do, which would impair our ability to successfully commercialize our product candidates and may harm our business, results of operations and prospects. Events that may result in a delay or unsuccessful completion of clinical development include:</w:t>
      </w:r>
    </w:p>
    <w:p>
      <w:pPr>
        <w:spacing w:after="0" w:line="102" w:lineRule="exact"/>
        <w:rPr>
          <w:sz w:val="20"/>
          <w:szCs w:val="20"/>
          <w:color w:val="auto"/>
        </w:rPr>
      </w:pPr>
    </w:p>
    <w:p>
      <w:pPr>
        <w:ind w:left="960" w:right="12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or CROs, and clinical trial sites;</w:t>
      </w:r>
    </w:p>
    <w:p>
      <w:pPr>
        <w:spacing w:after="0" w:line="102" w:lineRule="exact"/>
        <w:rPr>
          <w:rFonts w:ascii="Arial" w:cs="Arial" w:eastAsia="Arial" w:hAnsi="Arial"/>
          <w:sz w:val="18"/>
          <w:szCs w:val="18"/>
          <w:color w:val="auto"/>
        </w:rPr>
      </w:pPr>
    </w:p>
    <w:p>
      <w:pPr>
        <w:ind w:left="960" w:right="84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102" w:lineRule="exact"/>
        <w:rPr>
          <w:rFonts w:ascii="Arial" w:cs="Arial" w:eastAsia="Arial" w:hAnsi="Arial"/>
          <w:sz w:val="18"/>
          <w:szCs w:val="18"/>
          <w:color w:val="auto"/>
        </w:rPr>
      </w:pPr>
    </w:p>
    <w:p>
      <w:pPr>
        <w:ind w:left="960" w:right="68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therapeutic candidate;</w:t>
      </w:r>
    </w:p>
    <w:p>
      <w:pPr>
        <w:spacing w:after="0" w:line="11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and EMA for the development of NASH that issued in 2018;</w:t>
      </w:r>
    </w:p>
    <w:p>
      <w:pPr>
        <w:spacing w:after="0" w:line="102"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2" w:lineRule="exact"/>
        <w:rPr>
          <w:sz w:val="20"/>
          <w:szCs w:val="20"/>
          <w:color w:val="auto"/>
        </w:rPr>
      </w:pPr>
    </w:p>
    <w:p>
      <w:pPr>
        <w:ind w:left="200" w:right="200" w:firstLine="551"/>
        <w:spacing w:after="0" w:line="275" w:lineRule="auto"/>
        <w:rPr>
          <w:sz w:val="20"/>
          <w:szCs w:val="20"/>
          <w:color w:val="auto"/>
        </w:rPr>
      </w:pPr>
      <w:r>
        <w:rPr>
          <w:rFonts w:ascii="Arial" w:cs="Arial" w:eastAsia="Arial" w:hAnsi="Arial"/>
          <w:sz w:val="17"/>
          <w:szCs w:val="17"/>
          <w:color w:val="auto"/>
        </w:rPr>
        <w:t>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24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17" w:lineRule="exact"/>
        <w:rPr>
          <w:rFonts w:ascii="Arial" w:cs="Arial" w:eastAsia="Arial" w:hAnsi="Arial"/>
          <w:sz w:val="18"/>
          <w:szCs w:val="18"/>
          <w:color w:val="auto"/>
        </w:rPr>
      </w:pPr>
    </w:p>
    <w:p>
      <w:pPr>
        <w:jc w:val="both"/>
        <w:ind w:left="960" w:right="460" w:hanging="216"/>
        <w:spacing w:after="0" w:line="246"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7"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In particular, there is significant competition for recruiting NASH patients in clinical trials, and we or our partners may be unable to enroll the patients we need to complete clinical trials on a timely basis, or at all.</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potential product candidates.</w:t>
      </w:r>
    </w:p>
    <w:p>
      <w:pPr>
        <w:spacing w:after="0" w:line="126"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Our research efforts may initially show promise in discovering potential new protein and antibody therapeutics, yet fail to yield product candidates for clinical development for a number of reasons, including:</w:t>
      </w:r>
    </w:p>
    <w:p>
      <w:pPr>
        <w:spacing w:after="0" w:line="108" w:lineRule="exact"/>
        <w:rPr>
          <w:sz w:val="20"/>
          <w:szCs w:val="20"/>
          <w:color w:val="auto"/>
        </w:rPr>
      </w:pPr>
    </w:p>
    <w:p>
      <w:pPr>
        <w:ind w:left="960" w:right="16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102"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tend to identify and select from our drug discovery efforts novel, untested proteins in the particular disease indication we are pursuing, which we may fail to validate after further research work;</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17"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102"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17" w:lineRule="exact"/>
        <w:rPr>
          <w:rFonts w:ascii="Arial" w:cs="Arial" w:eastAsia="Arial" w:hAnsi="Arial"/>
          <w:sz w:val="18"/>
          <w:szCs w:val="18"/>
          <w:color w:val="auto"/>
        </w:rPr>
      </w:pPr>
    </w:p>
    <w:p>
      <w:pPr>
        <w:ind w:left="960" w:right="70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may change their development profiles or plans for potential product candidates or abandon a therapeutic area or the development of a partnered product.</w:t>
      </w:r>
    </w:p>
    <w:p>
      <w:pPr>
        <w:spacing w:after="0" w:line="197"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88" w:lineRule="exact"/>
        <w:rPr>
          <w:sz w:val="20"/>
          <w:szCs w:val="20"/>
          <w:color w:val="auto"/>
        </w:rPr>
      </w:pPr>
    </w:p>
    <w:p>
      <w:pPr>
        <w:ind w:left="200" w:right="720"/>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products.</w:t>
      </w:r>
    </w:p>
    <w:p>
      <w:pPr>
        <w:spacing w:after="0" w:line="68"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To date, our product candidates have been manufactured by third-party manufacturers solely for preclinical studies and clinical trials. These manufacturers may not be able to scale production to the larger quantities required for large clinical trials and to commercialize our product candidates. We have entered into a Development and Manufacturing Services Agreement with Lonza Ltd. for the production</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of Phase 3 and commercial supplies of NGM282. The process of manufacturing our products is complex, highly regulated and subject to several risks, including:</w:t>
      </w:r>
    </w:p>
    <w:p>
      <w:pPr>
        <w:spacing w:after="0" w:line="102" w:lineRule="exact"/>
        <w:rPr>
          <w:sz w:val="20"/>
          <w:szCs w:val="20"/>
          <w:color w:val="auto"/>
        </w:rPr>
      </w:pPr>
    </w:p>
    <w:p>
      <w:pPr>
        <w:ind w:left="960" w:right="60" w:hanging="216"/>
        <w:spacing w:after="0" w:line="23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110" w:lineRule="exact"/>
        <w:rPr>
          <w:rFonts w:ascii="Arial" w:cs="Arial" w:eastAsia="Arial" w:hAnsi="Arial"/>
          <w:sz w:val="18"/>
          <w:szCs w:val="18"/>
          <w:color w:val="auto"/>
        </w:rPr>
      </w:pPr>
    </w:p>
    <w:p>
      <w:pPr>
        <w:ind w:left="96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third-party manufacturer may fail to qualify upon an audit by Merck under our collaboration agreement;</w:t>
      </w:r>
    </w:p>
    <w:p>
      <w:pPr>
        <w:spacing w:after="0" w:line="117" w:lineRule="exact"/>
        <w:rPr>
          <w:rFonts w:ascii="Arial" w:cs="Arial" w:eastAsia="Arial" w:hAnsi="Arial"/>
          <w:sz w:val="18"/>
          <w:szCs w:val="18"/>
          <w:color w:val="auto"/>
        </w:rPr>
      </w:pPr>
    </w:p>
    <w:p>
      <w:pPr>
        <w:ind w:left="960" w:right="12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108" w:lineRule="exact"/>
        <w:rPr>
          <w:rFonts w:ascii="Arial" w:cs="Arial" w:eastAsia="Arial" w:hAnsi="Arial"/>
          <w:sz w:val="18"/>
          <w:szCs w:val="18"/>
          <w:color w:val="auto"/>
        </w:rPr>
      </w:pPr>
    </w:p>
    <w:p>
      <w:pPr>
        <w:ind w:left="960" w:right="260" w:hanging="216"/>
        <w:spacing w:after="0" w:line="239"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Certain raw materials necessary for the manufacture of our product candidates under our current manufacturing process, such as reagents that support cell growth, are available only from a single supplier and have been purchased without a long-term supply agreement. For example, we have a non-exclusive license from Lonza Sales AG to use its glutamine synthetase gene expression system, available only from Lonza Sales AG, to manufacture and commercialize our proprietary products, including our product candidates that are currently subject to our collaboration with Merck. See the section titled “Business—Intellectual Property—Licensing Arrangements” for more information regarding this agreement. We do not have agreements in place that guarantee our supply or the price of these raw materials.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7"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205"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studies may be required to evaluate the safety profile of our product candidates. The following serious adverse events were reported in our Phase 1 and five Phase 2 clinical trials of NGM282: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PSC and intervertebral discitis. Preliminary reporting from our completed Phase 1 and Phase 1b clinical trials of NGM313 showed that there were no reported serious adverse events except for a single incident each of cholecystitis and rectal bleeding due to hemorrhoids, both of which were deemed by the investigators to be unrelated to treatment with NGM313.</w:t>
      </w:r>
    </w:p>
    <w:p>
      <w:pPr>
        <w:spacing w:after="0" w:line="207"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Significant increases in serum levels of low density lipoprotein, or LDL, cholesterol were observed in clinical trials of NGM282 in NASH and type 2 diabetes. The drug-induced changes in LDL cholesterol were brought back to baseline levels with concomitant statin use in NASH patients, however, sustained LDL cholesterol elevations in untreated patients can be associated with cardiovascular disease. While the impact of these drug-induced changes in cholesterol are unknown, we believe that concomitant statin use, along with NGM282’s triglyceride lowering and high density lipoprotein, or HDL, cholesterol elevating properties, will provide an overall neutral to positive impact on patients’ cardiovascular health. We have not observed any significant changes in LDL cholesterol with NGM282 in trials we have conducted in patients with cholestatic liver disease, such as primary biliary cholangitis and primary sclerosing cholangitis.</w:t>
      </w:r>
    </w:p>
    <w:p>
      <w:pPr>
        <w:spacing w:after="0" w:line="203"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One subject in the NGM282 Phase 2a clinical trial in type 2 diabetes developed antibodies against NGM282 that appear to cross-react with FGF19. This patient did not demonstrate any biochemical or clinical safety concerns while in the study, and we have not identified any safety concerns while monitoring the subject following the study. Six of the 36 subjects in the NGM282 Phase 2 extension clinical trial in PBC were confirmed to have antibodies against NGM282. These subjects have not demonstrated any biochemical or clinical safety signals that were different from observations in subjects that did not generate antibodies against NGM282. However, future results of our trials could reveal a high and unacceptable severity and prevalence of side effects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293"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NGM282, is a modified version of a human hormone that has been associated with liver cancer in rodent testing.</w:t>
      </w:r>
    </w:p>
    <w:p>
      <w:pPr>
        <w:spacing w:after="0" w:line="6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NGM282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NGM282 in the livers of non-human primates and mice based on concerns relating to the observation that human FGF19 can induce hepatocellular proliferation in rodents. We withdrew this IND in January 2015, as we determined that we would not further study NGM282 in type 2 diabetes after we analyzed the results of the Phase 2a clinical trial of NGM282 in type 2 diabetes and made the determination to pursue NASH and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other liver indications. To date, the FDA Division of Gastroenterology and Inborn Errors Products, which is responsible for the NASH indication, has not requested any additional information regarding the potential for NGM282 to induce hepatocellular proliferation. We have received feedback from the FDA Carcinogenicity Assessment Committee, or CAC, that our preclinical data through six-month chronic toxicology studies in mice and monkeys support a single species, two-year carcinogenicity assessment in rats. The human hormone and the mouse ortholog for FGF19 share a sequence identity of approximately 50%, which means that the results of these studies of NGM282 in rats are not necessarily predictive of the potential risk of carcinogenicity in humans. To our knowledge, neither FGF19 nor any variant thereof other than NGM282 has ever been tested in humans. We believe we have identified a modified version of FGF19 that does not exhibit the cancer causing effects of native FGF19 in rodents. We believe that NGM282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NGM282.</w:t>
      </w:r>
    </w:p>
    <w:p>
      <w:pPr>
        <w:spacing w:after="0" w:line="291"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91"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8"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may also be incorrect and could cause us to miss valuable opportunities.</w:t>
      </w:r>
    </w:p>
    <w:p>
      <w:pPr>
        <w:spacing w:after="0" w:line="205"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91" w:lineRule="exact"/>
        <w:rPr>
          <w:sz w:val="20"/>
          <w:szCs w:val="20"/>
          <w:color w:val="auto"/>
        </w:rPr>
      </w:pPr>
    </w:p>
    <w:p>
      <w:pPr>
        <w:ind w:left="200" w:right="40"/>
        <w:spacing w:after="0" w:line="244"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 The departure of Dr. Chen within the next several years would permit Merck to shift the focus under our collaboration agreement to concentrate on the development of later-stage product candidates.</w:t>
      </w:r>
    </w:p>
    <w:p>
      <w:pPr>
        <w:spacing w:after="0" w:line="91" w:lineRule="exact"/>
        <w:rPr>
          <w:sz w:val="20"/>
          <w:szCs w:val="20"/>
          <w:color w:val="auto"/>
        </w:rPr>
      </w:pPr>
    </w:p>
    <w:p>
      <w:pPr>
        <w:ind w:left="200" w:right="20" w:firstLine="551"/>
        <w:spacing w:after="0" w:line="23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 agreements with all of our executive officers. Our employment agreements with our executive officers are terminable by them without notice and some provide for severance and change in control benefits. See the section titled “Executive and Director Compensation—Other Elements of Compensation—Agreements with our Named Executive Officers” and “Executive and Director Compensation—Other Elements of Compensation—Potential Payments Upon Termination or Change of Control” for further discussion. The loss of any one of our executive officers or key scientific consultants,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 During the initial term of the Merck collaboration, the departure of Dr. Chen as our employee or director of our research (other than on account of his employment by Merck) would give Merck the right to shift the focus of its research and development funding to concentrate on the development of later-stage product candidates, but Merck would not have the right to terminate or otherwise alter the conduct of the collaboration.</w:t>
      </w:r>
    </w:p>
    <w:p>
      <w:pPr>
        <w:spacing w:after="0" w:line="21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66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68"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7"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Since executing the Merck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88"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8" w:lineRule="exact"/>
        <w:rPr>
          <w:sz w:val="20"/>
          <w:szCs w:val="20"/>
          <w:color w:val="auto"/>
        </w:rPr>
      </w:pPr>
    </w:p>
    <w:p>
      <w:pPr>
        <w:jc w:val="both"/>
        <w:ind w:left="200" w:right="120" w:firstLine="551"/>
        <w:spacing w:after="0"/>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AstraZeneca/MedImmune, Bayer, Bristol-Myers Squibb, Eisai,</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Eli Lilly, GlaxoSmithKline, Johnson &amp; Johnson, Merck, Novartis, Novo Nordisk, Pfizer, Roche, Sanofi and Takeda, as well as large and small biotechnology companies such as 89Bio, Akero, Albireo, Amgen, Can-Fite, Cirius, Conatus, CymaBay, Enanta, Galectin, Galmed, Genfit, Gilead, Intercept, Inventiva, Madrigal, MannKind, MediciNova, Metacrine, Nalpropion, Terns, Viking, Vivus and Zafgen, are pursuing the development or marketing of pharmaceuticals that target the same diseases that are targeted by our most advanced product candidates. It is probable that the number of companies seeking to develop products and therapies for the treatment of cardio-metabolic disorders,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studies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0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8" w:lineRule="exact"/>
        <w:rPr>
          <w:sz w:val="20"/>
          <w:szCs w:val="20"/>
          <w:color w:val="auto"/>
        </w:rPr>
      </w:pPr>
    </w:p>
    <w:p>
      <w:pPr>
        <w:ind w:left="200" w:right="140" w:firstLine="551"/>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6"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an FXR agonist, from Intercept; MGL-3196, a beta-thyroid hormone receptor agonist from Madrigal; pegbelfermin, PEGylated FGF21, from Bristol-Myers Squibb; elobixibat, an IBAT-inhibitor from Albireo; a Galectin-3 inhibitor from Galectin; a synthetic</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57" w:lineRule="auto"/>
        <w:rPr>
          <w:sz w:val="20"/>
          <w:szCs w:val="20"/>
          <w:color w:val="auto"/>
        </w:rPr>
      </w:pPr>
      <w:r>
        <w:rPr>
          <w:rFonts w:ascii="Arial" w:cs="Arial" w:eastAsia="Arial" w:hAnsi="Arial"/>
          <w:sz w:val="17"/>
          <w:szCs w:val="17"/>
          <w:color w:val="auto"/>
        </w:rPr>
        <w:t>conjugate of cholic acid and arachidic acid from Galmed; an FXR agonist from Metacrine; FXR agonists from Novartis; a mitochondrial pyruvate complex modulator from Cirius; a PPAR delta agonist from CymaBay; and a PPAR alpha/delta agonist from Genfit. The foregoing competitive risks apply to NGM282 and NGM313 and any variants of NGM282 we may commercialize or, in the case of NGM313, Merck and we may commercialize, including the second-generation, half-life extended version of FGF19 we are currently developing.</w:t>
      </w:r>
    </w:p>
    <w:p>
      <w:pPr>
        <w:spacing w:after="0" w:line="189"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r>
        <w:rPr>
          <w:rFonts w:ascii="Arial" w:cs="Arial" w:eastAsia="Arial" w:hAnsi="Arial"/>
          <w:sz w:val="18"/>
          <w:szCs w:val="18"/>
          <w:color w:val="auto"/>
        </w:rPr>
        <w:t xml:space="preserve"> (bupropion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Lilly’s LY3298176 (dual GLP-1/GIP receptor agonist).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8"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and oral GLP-1 mimetics (Novo Nordisk). Some of these programs have been advanced further in clinical development than our product candidates and could receive approval before our product candidates are approved, if they are approved at all.</w:t>
      </w:r>
    </w:p>
    <w:p>
      <w:pPr>
        <w:spacing w:after="0" w:line="289"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otherwise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our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40"/>
        <w:spacing w:after="0" w:line="246" w:lineRule="auto"/>
        <w:rPr>
          <w:sz w:val="20"/>
          <w:szCs w:val="20"/>
          <w:color w:val="auto"/>
        </w:rPr>
      </w:pPr>
      <w:r>
        <w:rPr>
          <w:rFonts w:ascii="Arial" w:cs="Arial" w:eastAsia="Arial" w:hAnsi="Arial"/>
          <w:sz w:val="18"/>
          <w:szCs w:val="18"/>
          <w:color w:val="auto"/>
        </w:rPr>
        <w:t>allowing us to market our products at a premium as new drugs. The degree of market acceptance of any of our approved product candidates will depend on a number of factors, including:</w:t>
      </w:r>
    </w:p>
    <w:p>
      <w:pPr>
        <w:spacing w:after="0" w:line="102" w:lineRule="exact"/>
        <w:rPr>
          <w:sz w:val="20"/>
          <w:szCs w:val="20"/>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94" w:lineRule="exact"/>
        <w:rPr>
          <w:sz w:val="20"/>
          <w:szCs w:val="20"/>
          <w:color w:val="auto"/>
        </w:rPr>
      </w:pPr>
    </w:p>
    <w:p>
      <w:pPr>
        <w:jc w:val="both"/>
        <w:ind w:left="200" w:right="340"/>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8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240" w:top="459" w:right="5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26"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Each of these measures was rejected by the full Senate. Congress will likely consider other legislation to replace elements of the Affordable Care Act.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 and our business.</w:t>
      </w:r>
    </w:p>
    <w:p>
      <w:pPr>
        <w:spacing w:after="0" w:line="205"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3"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89"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8" w:lineRule="exact"/>
        <w:rPr>
          <w:sz w:val="20"/>
          <w:szCs w:val="20"/>
          <w:color w:val="auto"/>
        </w:rPr>
      </w:pPr>
    </w:p>
    <w:p>
      <w:pPr>
        <w:jc w:val="both"/>
        <w:ind w:left="200" w:right="100" w:firstLine="551"/>
        <w:spacing w:after="0" w:line="261"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clinical trial centers are located outside of the United States. Furthermore, if we or our collaborator succeeds in developing any products, we intend to market them in the European Union and other jurisdictions in addition to the United States. If approved, we or our collaborator may hire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sales representatives and conduct physician and patient association outreach activities outside of the United States. Doing business internationally involves a number of risks, including but not limited to:</w:t>
      </w:r>
    </w:p>
    <w:p>
      <w:pPr>
        <w:spacing w:after="0" w:line="102" w:lineRule="exact"/>
        <w:rPr>
          <w:sz w:val="20"/>
          <w:szCs w:val="20"/>
          <w:color w:val="auto"/>
        </w:rPr>
      </w:pPr>
    </w:p>
    <w:p>
      <w:pPr>
        <w:ind w:left="960" w:right="420" w:hanging="216"/>
        <w:spacing w:after="0" w:line="246"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960" w:right="60" w:hanging="216"/>
        <w:spacing w:after="0" w:line="246"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02"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jc w:val="both"/>
        <w:ind w:left="960" w:right="14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3"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283"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8"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108" w:lineRule="exact"/>
        <w:rPr>
          <w:sz w:val="20"/>
          <w:szCs w:val="20"/>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93" w:lineRule="exact"/>
        <w:rPr>
          <w:sz w:val="20"/>
          <w:szCs w:val="20"/>
          <w:color w:val="auto"/>
        </w:rPr>
      </w:pPr>
    </w:p>
    <w:p>
      <w:pPr>
        <w:ind w:left="200" w:right="840"/>
        <w:spacing w:after="0" w:line="275"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6" w:lineRule="exact"/>
        <w:rPr>
          <w:sz w:val="20"/>
          <w:szCs w:val="20"/>
          <w:color w:val="auto"/>
        </w:rPr>
      </w:pPr>
    </w:p>
    <w:p>
      <w:pPr>
        <w:ind w:left="200" w:right="440" w:firstLine="551"/>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our collaborator obtains marketing approval. Restrictions under applicable federal and state healthcare laws and regulations, include the following:</w:t>
      </w:r>
    </w:p>
    <w:p>
      <w:pPr>
        <w:spacing w:after="0" w:line="111" w:lineRule="exact"/>
        <w:rPr>
          <w:sz w:val="20"/>
          <w:szCs w:val="20"/>
          <w:color w:val="auto"/>
        </w:rPr>
      </w:pPr>
    </w:p>
    <w:p>
      <w:pPr>
        <w:ind w:left="960" w:hanging="216"/>
        <w:spacing w:after="0" w:line="238"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90" w:lineRule="exact"/>
        <w:rPr>
          <w:rFonts w:ascii="Arial" w:cs="Arial" w:eastAsia="Arial" w:hAnsi="Arial"/>
          <w:sz w:val="18"/>
          <w:szCs w:val="18"/>
          <w:color w:val="auto"/>
        </w:rPr>
      </w:pPr>
    </w:p>
    <w:p>
      <w:pPr>
        <w:ind w:left="960" w:hanging="216"/>
        <w:spacing w:after="0" w:line="245"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04" w:lineRule="exact"/>
        <w:rPr>
          <w:rFonts w:ascii="Arial" w:cs="Arial" w:eastAsia="Arial" w:hAnsi="Arial"/>
          <w:sz w:val="18"/>
          <w:szCs w:val="18"/>
          <w:color w:val="auto"/>
        </w:rPr>
      </w:pPr>
    </w:p>
    <w:p>
      <w:pPr>
        <w:ind w:left="960" w:right="60" w:hanging="216"/>
        <w:spacing w:after="0" w:line="239"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line="238"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08" w:lineRule="exact"/>
        <w:rPr>
          <w:rFonts w:ascii="Arial" w:cs="Arial" w:eastAsia="Arial" w:hAnsi="Arial"/>
          <w:sz w:val="18"/>
          <w:szCs w:val="18"/>
          <w:color w:val="auto"/>
        </w:rPr>
      </w:pPr>
    </w:p>
    <w:p>
      <w:pPr>
        <w:ind w:left="960" w:right="120" w:hanging="216"/>
        <w:spacing w:after="0" w:line="23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108" w:lineRule="exact"/>
        <w:rPr>
          <w:rFonts w:ascii="Arial" w:cs="Arial" w:eastAsia="Arial" w:hAnsi="Arial"/>
          <w:sz w:val="18"/>
          <w:szCs w:val="18"/>
          <w:color w:val="auto"/>
        </w:rPr>
      </w:pPr>
    </w:p>
    <w:p>
      <w:pPr>
        <w:ind w:left="960" w:right="40" w:hanging="216"/>
        <w:spacing w:after="0" w:line="23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7"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94"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8"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Our facility has been subject to electrical blackouts as a result of a shortage of available electrical power. Future blackouts could disrupt the operations of our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and any losses or damages incurred by us could harm our business. The contract manufacturing organization that is the sole supplier of clinical drug substance of NGM313, NGM386, NGM395, NGM120, NGM217 and NGM621 is located in a region that has experienced recent political unrest.</w:t>
      </w:r>
    </w:p>
    <w:p>
      <w:pPr>
        <w:spacing w:after="0" w:line="289" w:lineRule="exact"/>
        <w:rPr>
          <w:sz w:val="20"/>
          <w:szCs w:val="20"/>
          <w:color w:val="auto"/>
        </w:rPr>
      </w:pPr>
    </w:p>
    <w:p>
      <w:pPr>
        <w:ind w:left="200" w:right="560"/>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future CROs and other contractors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In 2017, a security breach of the internal computer systems of our collaborator, Merck, caused material damage to their operations, but did not affect our internal operations.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291"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6"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2" w:lineRule="exact"/>
        <w:rPr>
          <w:sz w:val="20"/>
          <w:szCs w:val="20"/>
          <w:color w:val="auto"/>
        </w:rPr>
      </w:pPr>
    </w:p>
    <w:p>
      <w:pPr>
        <w:jc w:val="both"/>
        <w:ind w:left="200" w:right="100"/>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on collaborations with additional third parties for the development and commercialization of our product candidates in the future. If those collaborations are not successful, we may not be able to capitalize on the market potential of these product candidates.</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including NGM313, NGM386, NGM395, NGM217, NGM120 and NGM621 but excluding NGM282. In November 2018, Merck exercised its option to license NGM313. On March 1, 2019, Merck notified us of its intent to terminate its license to the GDF15 receptor agonist program, including NGM386 and NGM395, effective May 31, 2019. On March 15, 2019, Merck exercised its option to extend the collaboration for an additional two years, from March 2020 through March 17, 2022. The collaboration involves a complex allocation of rights, provides for substantial research and development support, provides for additional payments upon Merck’s election to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of providing sales representatives to co-detail the product candidates that Merck elects to advance in the United States. See “Business—Our Collaboration with Merck.” We cannot predict the success of the collaboration, including whether Merck exercises its option to license additional product candidates or terminates its license to a program.</w:t>
      </w:r>
    </w:p>
    <w:p>
      <w:pPr>
        <w:spacing w:after="0" w:line="20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NGM282.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ind w:left="960" w:hanging="216"/>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110"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0"/>
        <w:spacing w:after="0" w:line="239" w:lineRule="auto"/>
        <w:rPr>
          <w:sz w:val="20"/>
          <w:szCs w:val="20"/>
          <w:color w:val="auto"/>
        </w:rPr>
      </w:pPr>
      <w:r>
        <w:rPr>
          <w:rFonts w:ascii="Arial" w:cs="Arial" w:eastAsia="Arial" w:hAnsi="Arial"/>
          <w:sz w:val="18"/>
          <w:szCs w:val="18"/>
          <w:color w:val="auto"/>
        </w:rPr>
        <w:t>clinical trial results, changes in the collaborator’s strategic focus or available funding or external factors such as an acquisition that diverts resources or creates competing priorities. For example, Merck might opt not to exercise its option to acquire a license to a product candidate that has generated proof-of-concept data, or Merck may opt to terminate a program, as it did for NGM386 and NGM395.</w:t>
      </w:r>
    </w:p>
    <w:p>
      <w:pPr>
        <w:spacing w:after="0" w:line="107" w:lineRule="exact"/>
        <w:rPr>
          <w:sz w:val="20"/>
          <w:szCs w:val="20"/>
          <w:color w:val="auto"/>
        </w:rPr>
      </w:pPr>
    </w:p>
    <w:p>
      <w:pPr>
        <w:ind w:left="960" w:hanging="216"/>
        <w:spacing w:after="0" w:line="23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NGM313 program and any program for which we have not exercised our cost and profit sharing option upon prior written notice or terminate any program for which we have exercised our cost and profit sharing option upon prior written notice, without triggering a termination of the remainder of the collaboration arrangement.</w:t>
      </w:r>
    </w:p>
    <w:p>
      <w:pPr>
        <w:spacing w:after="0" w:line="110" w:lineRule="exact"/>
        <w:rPr>
          <w:rFonts w:ascii="Arial" w:cs="Arial" w:eastAsia="Arial" w:hAnsi="Arial"/>
          <w:sz w:val="18"/>
          <w:szCs w:val="18"/>
          <w:color w:val="auto"/>
        </w:rPr>
      </w:pPr>
    </w:p>
    <w:p>
      <w:pPr>
        <w:ind w:left="960" w:right="400" w:hanging="21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108" w:lineRule="exact"/>
        <w:rPr>
          <w:rFonts w:ascii="Arial" w:cs="Arial" w:eastAsia="Arial" w:hAnsi="Arial"/>
          <w:sz w:val="18"/>
          <w:szCs w:val="18"/>
          <w:color w:val="auto"/>
        </w:rPr>
      </w:pPr>
    </w:p>
    <w:p>
      <w:pPr>
        <w:ind w:left="960" w:right="580" w:hanging="216"/>
        <w:spacing w:after="0" w:line="246"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102" w:lineRule="exact"/>
        <w:rPr>
          <w:rFonts w:ascii="Arial" w:cs="Arial" w:eastAsia="Arial" w:hAnsi="Arial"/>
          <w:sz w:val="18"/>
          <w:szCs w:val="18"/>
          <w:color w:val="auto"/>
        </w:rPr>
      </w:pPr>
    </w:p>
    <w:p>
      <w:pPr>
        <w:ind w:left="960" w:right="20" w:hanging="216"/>
        <w:spacing w:after="0" w:line="238"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our collaboration arrangement with respect to certain licensed programs and, although we may have the right to assume the maintenance and defense of our intellectual property rights if Merck does not, our ability to do so may be compromised by Merck’s actions.</w:t>
      </w:r>
    </w:p>
    <w:p>
      <w:pPr>
        <w:spacing w:after="0" w:line="108" w:lineRule="exact"/>
        <w:rPr>
          <w:rFonts w:ascii="Arial" w:cs="Arial" w:eastAsia="Arial" w:hAnsi="Arial"/>
          <w:sz w:val="18"/>
          <w:szCs w:val="18"/>
          <w:color w:val="auto"/>
        </w:rPr>
      </w:pPr>
    </w:p>
    <w:p>
      <w:pPr>
        <w:ind w:left="960" w:right="120" w:hanging="21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08"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102"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02" w:lineRule="exact"/>
        <w:rPr>
          <w:rFonts w:ascii="Arial" w:cs="Arial" w:eastAsia="Arial" w:hAnsi="Arial"/>
          <w:sz w:val="18"/>
          <w:szCs w:val="18"/>
          <w:color w:val="auto"/>
        </w:rPr>
      </w:pPr>
    </w:p>
    <w:p>
      <w:pPr>
        <w:ind w:left="960" w:right="40" w:hanging="216"/>
        <w:spacing w:after="0" w:line="239"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288"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terminate or choose not to renew its agreement with us or shift the focus of its research and development funding, any of which would materially and adversely affect our business.</w:t>
      </w:r>
    </w:p>
    <w:p>
      <w:pPr>
        <w:spacing w:after="0" w:line="83"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Under our collaboration agreement with Merck, Merck has the right to terminate all or part of the agreement at certain times and under certain circumstances. Merck may terminate the research and early development program effective March 17, 2022 by providing notice to us on or prior to March 17, 2021. Merck may terminate its annual funding of the research program prior to March 17, 2022 if we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are acquired by a third party or if we are in material uncured breach of our obligations under the research and early development program. During the initial term of the Merck collaboration, the departure of Dr. Chen as our employee or director of our research (other than on account of his employment by Merck) gives rise to the right of Merck to shift the focus of the research and development funding provided by Merck to concentrate on the development of later-stage product candidates, but Merck would not have the right to terminate or otherwise alter the conduct of the collaboration. After the initial term of the collaboration or, if Merck exercises its option to extend the term, after such extension period, Merck may terminate the overall agreement for convenience upon written notice and subject to certain limitations.</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Subject to certain limitations, Merck may partially terminate the agreement for convenience as it relates to NGM313 or any future optioned program. On March 1, 2019, Merck notified us of its intent to terminate its license to the GDF15 receptor agonist program, effective May 31, 2019. Merck may also terminate the agreement as it relates to its rights to research and develop small molecule compounds. It may also terminate the agreement with respect to a specific optioned program, such as NGM313,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optioned program.</w:t>
      </w:r>
    </w:p>
    <w:p>
      <w:pPr>
        <w:spacing w:after="0" w:line="203"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289" w:lineRule="exact"/>
        <w:rPr>
          <w:sz w:val="20"/>
          <w:szCs w:val="20"/>
          <w:color w:val="auto"/>
        </w:rPr>
      </w:pPr>
    </w:p>
    <w:p>
      <w:pPr>
        <w:ind w:left="200" w:right="640"/>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third party relationships that are necessary to develop, commercialize and manufacture some or all of our product candidates.</w:t>
      </w:r>
    </w:p>
    <w:p>
      <w:pPr>
        <w:spacing w:after="0" w:line="68"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clinical research organizations, manufacturers and other third parties to support our discovery efforts, to formulate product candidates, to conduct clinical trials for some or all of our product candidates, to manufacture clinical and commercial scale quantities of our drug substance and drug product and to market, sell and distribute any products we successfully develop. Any problems we experience with any of these third parties could delay the development, commercialization and manufacturing of our product candidates, which could harm our results of operations.</w:t>
      </w:r>
    </w:p>
    <w:p>
      <w:pPr>
        <w:spacing w:after="0" w:line="205"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We have contracted with third parties for the manufacture of NGM282, NGM313, NGM386, NGM395, NGM217, NGM120 and NGM621 bulk drug substance and drug product, and for the labeling and distribution of drug product for these candidates for use in our clinical trials. We believe our current drug substance contractors have the scale, the systems and the experience to supply our Phase 2 and Phase 2b clinical trials for NGM282, our collaborator’s Phase 1 and Phase 2b clinical trials for NGM313, our Phase 1 clinical trials for NGM217 and NGM120 and our planned Phase 1 clinical trial for NGM621.</w:t>
      </w:r>
    </w:p>
    <w:p>
      <w:pPr>
        <w:spacing w:after="0" w:line="203"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Other than a long-term supply agreement with Lonza for NGM282, we have not contracted with alternate suppliers in the event the organizations we are currently utilizing are unable to scale production, or if we otherwise experience any problems with them. If we are unable to arrange for alternative third-party manufacturing sources, or to do so on commercially reasonable terms or in a timely manner, we may be delayed in the development of our product candidates.</w:t>
      </w:r>
    </w:p>
    <w:p>
      <w:pPr>
        <w:spacing w:after="0" w:line="202"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NGM282, NGM386, NGM395, NGM217, NGM120 and NGM621 to the extent we advance these product candidates and will rely on our collaborator to determine whether to utilize a third-party manufacturer or internal manufacturing capacity for NGM313 and other optioned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cGMP and to pass inspections of the manufacturing facilities by the FDA or other regulatory agencies could seriously harm our business.</w:t>
      </w:r>
    </w:p>
    <w:p>
      <w:pPr>
        <w:spacing w:after="0" w:line="207" w:lineRule="exact"/>
        <w:rPr>
          <w:sz w:val="20"/>
          <w:szCs w:val="20"/>
          <w:color w:val="auto"/>
        </w:rPr>
      </w:pPr>
    </w:p>
    <w:p>
      <w:pPr>
        <w:ind w:left="200" w:right="180" w:firstLine="551"/>
        <w:spacing w:after="0" w:line="257" w:lineRule="auto"/>
        <w:rPr>
          <w:sz w:val="20"/>
          <w:szCs w:val="20"/>
          <w:color w:val="auto"/>
        </w:rPr>
      </w:pPr>
      <w:r>
        <w:rPr>
          <w:rFonts w:ascii="Arial" w:cs="Arial" w:eastAsia="Arial" w:hAnsi="Arial"/>
          <w:sz w:val="17"/>
          <w:szCs w:val="17"/>
          <w:color w:val="auto"/>
        </w:rPr>
        <w:t>We cannot guarantee that we or, as applicable, our collaborator will be able to successfully negotiate agreements for, or maintain relationships with, collaborators, partners, licensees,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189" w:lineRule="exact"/>
        <w:rPr>
          <w:sz w:val="20"/>
          <w:szCs w:val="20"/>
          <w:color w:val="auto"/>
        </w:rPr>
      </w:pPr>
    </w:p>
    <w:p>
      <w:pPr>
        <w:ind w:left="200" w:right="40" w:firstLine="551"/>
        <w:spacing w:after="0" w:line="252" w:lineRule="auto"/>
        <w:rPr>
          <w:sz w:val="20"/>
          <w:szCs w:val="20"/>
          <w:color w:val="auto"/>
        </w:rPr>
      </w:pPr>
      <w:r>
        <w:rPr>
          <w:rFonts w:ascii="Arial" w:cs="Arial" w:eastAsia="Arial" w:hAnsi="Arial"/>
          <w:sz w:val="17"/>
          <w:szCs w:val="17"/>
          <w:color w:val="auto"/>
        </w:rPr>
        <w:t>We and our collaborator expect to expend substantial management time and effort to enter into relationships with third parties and, if we or our collaborator successfully enter into such relationships, to manage these relationships. In addition, substantial amounts of our expenditures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preclinical and clinical development and manufacturing of our programs and, therefore, enter into these relationships with less information than if these third parties were in the United States and may not choose the best parties for these relationships.</w:t>
      </w:r>
    </w:p>
    <w:p>
      <w:pPr>
        <w:spacing w:after="0" w:line="28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8" w:lineRule="exact"/>
        <w:rPr>
          <w:sz w:val="20"/>
          <w:szCs w:val="20"/>
          <w:color w:val="auto"/>
        </w:rPr>
      </w:pPr>
    </w:p>
    <w:p>
      <w:pPr>
        <w:jc w:val="both"/>
        <w:ind w:left="200" w:right="220" w:firstLine="551"/>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NGM282, NGM386 and NGM395, we may decide to collaborate with other pharmaceutical and biotechnology companies for their development and potential commercialization.</w:t>
      </w:r>
    </w:p>
    <w:p>
      <w:pPr>
        <w:spacing w:after="0" w:line="203"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NGM282, is excluded from this provision, notwithstanding that both NGM282 and NGM313 signal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203" w:lineRule="exact"/>
        <w:rPr>
          <w:sz w:val="20"/>
          <w:szCs w:val="20"/>
          <w:color w:val="auto"/>
        </w:rPr>
      </w:pPr>
    </w:p>
    <w:p>
      <w:pPr>
        <w:jc w:val="both"/>
        <w:ind w:left="200" w:right="200" w:firstLine="551"/>
        <w:spacing w:after="0" w:line="24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9" w:lineRule="exact"/>
        <w:rPr>
          <w:sz w:val="20"/>
          <w:szCs w:val="20"/>
          <w:color w:val="auto"/>
        </w:rPr>
      </w:pPr>
    </w:p>
    <w:p>
      <w:pPr>
        <w:jc w:val="both"/>
        <w:ind w:left="200" w:right="200"/>
        <w:spacing w:after="0" w:line="302"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43"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We currently rely on, and expect to continue to rely on, third parties, such as contract research organizations, clinical data management organizations, medical institutions, consultants and clinical 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3"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202" w:lineRule="exact"/>
        <w:rPr>
          <w:sz w:val="20"/>
          <w:szCs w:val="20"/>
          <w:color w:val="auto"/>
        </w:rPr>
      </w:pPr>
    </w:p>
    <w:p>
      <w:pPr>
        <w:jc w:val="both"/>
        <w:ind w:left="200" w:right="200" w:firstLine="551"/>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89" w:lineRule="exact"/>
        <w:rPr>
          <w:sz w:val="20"/>
          <w:szCs w:val="20"/>
          <w:color w:val="auto"/>
        </w:rPr>
      </w:pPr>
    </w:p>
    <w:p>
      <w:pPr>
        <w:ind w:left="200" w:right="60"/>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88"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NGM282, NGM313, NGM386, NGM395, NGM217, NGM120 and NGM621 for our preclinical and clinical testing from third-party manufacturers. Other than for a long-term supply agreement with Lonza for NGM282, we do not have a long-term supply agreement with any third-party manufacturer.</w:t>
      </w:r>
    </w:p>
    <w:p>
      <w:pPr>
        <w:spacing w:after="0" w:line="203"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02" w:lineRule="exact"/>
        <w:rPr>
          <w:sz w:val="20"/>
          <w:szCs w:val="20"/>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12"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3"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203"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spacing w:after="0"/>
        <w:rPr>
          <w:sz w:val="20"/>
          <w:szCs w:val="20"/>
          <w:color w:val="auto"/>
        </w:rPr>
      </w:pPr>
      <w:r>
        <w:rPr>
          <w:rFonts w:ascii="Arial" w:cs="Arial" w:eastAsia="Arial" w:hAnsi="Arial"/>
          <w:sz w:val="18"/>
          <w:szCs w:val="18"/>
          <w:color w:val="auto"/>
        </w:rPr>
        <w:t>supply for bulk drug substances. If any one of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203"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2"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68" w:lineRule="exact"/>
        <w:rPr>
          <w:sz w:val="20"/>
          <w:szCs w:val="20"/>
          <w:color w:val="auto"/>
        </w:rPr>
      </w:pPr>
    </w:p>
    <w:p>
      <w:pPr>
        <w:ind w:left="200" w:right="140" w:firstLine="551"/>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92" w:lineRule="exact"/>
        <w:rPr>
          <w:sz w:val="20"/>
          <w:szCs w:val="20"/>
          <w:color w:val="auto"/>
        </w:rPr>
      </w:pPr>
    </w:p>
    <w:p>
      <w:pPr>
        <w:ind w:left="200" w:right="2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8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development and may vary among jurisdictions. We have not obtained regulatory approval for any product candidate and it is possible that none of our existing product candidates or any future product candidates will ever obtain regulatory approval.</w:t>
      </w:r>
    </w:p>
    <w:p>
      <w:pPr>
        <w:spacing w:after="0" w:line="205"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02" w:lineRule="exact"/>
        <w:rPr>
          <w:sz w:val="20"/>
          <w:szCs w:val="20"/>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960" w:right="60" w:hanging="216"/>
        <w:spacing w:after="0" w:line="24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 biologics license application, or BLA, or other submission or to obtain regulatory approval;</w:t>
      </w:r>
    </w:p>
    <w:p>
      <w:pPr>
        <w:spacing w:after="0" w:line="102"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have received orphan drug status for NGM282 for PBC in the United States and for PBC and PSC in the European Union. The FDA grants orphan drug designation to drugs intended to treat a rare disease or condition, which is generally defined as a disease or condition that affects fewer than 200,000 individuals in the United States and fewer than five in 10,000 individuals in the European Union. Typically, if a drug with an orphan drug designation subsequently receives the first marketing approval for the indication for which it has such designation, the drug is entitled to a period of marketing exclusivity, which precludes the FDA or the European Medicines Agency, or EMA, from approving another marketing application for the same drug for that time period. The applicable period is seven years in the United States and 10 years in the EU. The EU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207"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Although we have obtained orphan drug status for NGM282 for PBC and PSC, that exclusivity may not effectively protect the candidate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203"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24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Although NGM282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NGM282 or any other product candidate that we are developing or may develop.</w:t>
      </w:r>
    </w:p>
    <w:p>
      <w:pPr>
        <w:spacing w:after="0" w:line="289"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8"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European Union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26"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2"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09" w:lineRule="exact"/>
        <w:rPr>
          <w:sz w:val="20"/>
          <w:szCs w:val="20"/>
          <w:color w:val="auto"/>
        </w:rPr>
      </w:pPr>
    </w:p>
    <w:p>
      <w:pPr>
        <w:ind w:left="960" w:right="240" w:hanging="216"/>
        <w:spacing w:after="0" w:line="24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17" w:lineRule="exact"/>
        <w:rPr>
          <w:rFonts w:ascii="Arial" w:cs="Arial" w:eastAsia="Arial" w:hAnsi="Arial"/>
          <w:sz w:val="18"/>
          <w:szCs w:val="18"/>
          <w:color w:val="auto"/>
        </w:rPr>
      </w:pPr>
    </w:p>
    <w:p>
      <w:pPr>
        <w:ind w:left="960" w:right="320" w:hanging="216"/>
        <w:spacing w:after="0" w:line="24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2" w:lineRule="exact"/>
        <w:rPr>
          <w:sz w:val="20"/>
          <w:szCs w:val="20"/>
          <w:color w:val="auto"/>
        </w:rPr>
      </w:pPr>
    </w:p>
    <w:p>
      <w:pPr>
        <w:ind w:left="200" w:right="640" w:firstLine="551"/>
        <w:spacing w:after="0" w:line="24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5" w:lineRule="exact"/>
        <w:rPr>
          <w:sz w:val="20"/>
          <w:szCs w:val="20"/>
          <w:color w:val="auto"/>
        </w:rPr>
      </w:pPr>
    </w:p>
    <w:p>
      <w:pPr>
        <w:jc w:val="both"/>
        <w:ind w:left="200" w:right="120" w:firstLine="551"/>
        <w:spacing w:after="0" w:line="261"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4" w:lineRule="auto"/>
        <w:rPr>
          <w:sz w:val="20"/>
          <w:szCs w:val="20"/>
          <w:color w:val="auto"/>
        </w:rPr>
      </w:pPr>
      <w:r>
        <w:rPr>
          <w:rFonts w:ascii="Arial" w:cs="Arial" w:eastAsia="Arial" w:hAnsi="Arial"/>
          <w:sz w:val="18"/>
          <w:szCs w:val="18"/>
          <w:color w:val="auto"/>
        </w:rPr>
        <w:t>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regarding certain sales practices promoting off-label drug uses involving fines in excess of</w:t>
      </w:r>
    </w:p>
    <w:p>
      <w:pPr>
        <w:spacing w:after="0" w:line="4"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88"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Even if we receive regulatory approval for NGM282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NGM282 is approved by the FDA based on a surrogate endpoint pursuant to accelerated approval regulations (Subpart H and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NGM282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26"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20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20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Any changes we make to our product candidates, including NGM282, NGM313, NGM386, NGM395 and NGM120,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NGM282 molecule, including the half-life extended variant of FGF19 that we are developing, NGM313, NGM386, NGM395, NGM120 or any of our other product candidates.</w:t>
      </w:r>
    </w:p>
    <w:p>
      <w:pPr>
        <w:spacing w:after="0" w:line="205"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NGM217 or NGM621 product candidates, although they are disclosed and claimed in our pending U.S. provisional, U.S. non-provisional and/or Patent Cooperation Treaty, or PCT, applications. The patent landscape surrounding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 For a description of our patent portfolio, see the section titled “Business—Intellectual Property—Patents and Other Proprietary Rights.”</w:t>
      </w:r>
    </w:p>
    <w:p>
      <w:pPr>
        <w:spacing w:after="0" w:line="205"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20"/>
        <w:spacing w:after="0"/>
        <w:rPr>
          <w:sz w:val="20"/>
          <w:szCs w:val="20"/>
          <w:color w:val="auto"/>
        </w:rPr>
      </w:pPr>
      <w:r>
        <w:rPr>
          <w:rFonts w:ascii="Arial" w:cs="Arial" w:eastAsia="Arial" w:hAnsi="Arial"/>
          <w:sz w:val="18"/>
          <w:szCs w:val="18"/>
          <w:color w:val="auto"/>
        </w:rPr>
        <w:t>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6" w:lineRule="exact"/>
        <w:rPr>
          <w:sz w:val="20"/>
          <w:szCs w:val="20"/>
          <w:color w:val="auto"/>
        </w:rPr>
      </w:pPr>
    </w:p>
    <w:p>
      <w:pPr>
        <w:jc w:val="both"/>
        <w:ind w:left="200" w:right="60" w:firstLine="551"/>
        <w:spacing w:after="0" w:line="239"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02"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practicing our technologies or from developing or commercializing competing</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 the United States. These products may compete with our product candidates and our and our collaborator’s patents or other intellectual property rights may not be effective or sufficient to prevent them from competing.</w:t>
      </w:r>
    </w:p>
    <w:p>
      <w:pPr>
        <w:spacing w:after="0" w:line="207" w:lineRule="exact"/>
        <w:rPr>
          <w:sz w:val="20"/>
          <w:szCs w:val="20"/>
          <w:color w:val="auto"/>
        </w:rPr>
      </w:pPr>
    </w:p>
    <w:p>
      <w:pPr>
        <w:ind w:left="200" w:right="60" w:firstLine="551"/>
        <w:spacing w:after="0" w:line="23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w:t>
      </w:r>
    </w:p>
    <w:p>
      <w:pPr>
        <w:spacing w:after="0" w:line="5"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 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2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technology, which would have a material adverse effect on our business, financial condition and results of operations.</w:t>
      </w:r>
    </w:p>
    <w:p>
      <w:pPr>
        <w:spacing w:after="0" w:line="292" w:lineRule="exact"/>
        <w:rPr>
          <w:sz w:val="20"/>
          <w:szCs w:val="20"/>
          <w:color w:val="auto"/>
        </w:rPr>
      </w:pPr>
    </w:p>
    <w:p>
      <w:pPr>
        <w:ind w:left="200" w:right="680"/>
        <w:spacing w:after="0" w:line="27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collaborator’s ability to obtain new patents or to enforce existing patents and patents we and our collaborator may obtain in the future.</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 xml:space="preserve">Patent reform laws, such as the Leahy-Smith America Invents Act, or the Leahy-Smith Act, as well as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have on the operation of our business. However, the Leahy-Smith Act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89" w:lineRule="exact"/>
        <w:rPr>
          <w:sz w:val="20"/>
          <w:szCs w:val="20"/>
          <w:color w:val="auto"/>
        </w:rPr>
      </w:pPr>
    </w:p>
    <w:p>
      <w:pPr>
        <w:ind w:left="200" w:right="460"/>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technology necessary to develop and commercialize our product candidates.</w:t>
      </w:r>
    </w:p>
    <w:p>
      <w:pPr>
        <w:spacing w:after="0" w:line="68"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oncology and ophthalmic fields, and there are issued third-party patents and published third-party patent applications in these fields. 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w:t>
      </w:r>
    </w:p>
    <w:p>
      <w:pPr>
        <w:spacing w:after="0" w:line="203"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reasons, we may lose our rights to in-licensed technologies.</w:t>
      </w:r>
    </w:p>
    <w:p>
      <w:pPr>
        <w:spacing w:after="0" w:line="208"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4" w:lineRule="exact"/>
        <w:rPr>
          <w:sz w:val="20"/>
          <w:szCs w:val="20"/>
          <w:color w:val="auto"/>
        </w:rPr>
      </w:pPr>
    </w:p>
    <w:p>
      <w:pPr>
        <w:ind w:left="200" w:right="68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 of being invalidated, narrowed, held unenforceable or interpreted in such a manner that would not preclude third parties from entering the market with competing products.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Third-party pre-issuance submission of prior art to the USPTO, or opposition, derivation, revocation, reexamination, </w:t>
      </w:r>
      <w:r>
        <w:rPr>
          <w:rFonts w:ascii="Arial" w:cs="Arial" w:eastAsia="Arial" w:hAnsi="Arial"/>
          <w:sz w:val="18"/>
          <w:szCs w:val="18"/>
          <w:i w:val="1"/>
          <w:iCs w:val="1"/>
          <w:color w:val="auto"/>
        </w:rPr>
        <w:t>inter</w:t>
      </w:r>
    </w:p>
    <w:p>
      <w:pPr>
        <w:spacing w:after="0" w:line="1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or interference proceedings, or other pre-issuance or post-grant proceedings or other patent office proceedings or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205"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that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83" w:lineRule="exact"/>
        <w:rPr>
          <w:sz w:val="20"/>
          <w:szCs w:val="20"/>
          <w:color w:val="auto"/>
        </w:rPr>
      </w:pPr>
    </w:p>
    <w:p>
      <w:pPr>
        <w:ind w:left="200" w:right="160" w:firstLine="551"/>
        <w:spacing w:after="0" w:line="236" w:lineRule="auto"/>
        <w:rPr>
          <w:sz w:val="20"/>
          <w:szCs w:val="20"/>
          <w:color w:val="auto"/>
        </w:rPr>
      </w:pPr>
      <w:r>
        <w:rPr>
          <w:rFonts w:ascii="Arial" w:cs="Arial" w:eastAsia="Arial" w:hAnsi="Arial"/>
          <w:sz w:val="18"/>
          <w:szCs w:val="18"/>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207"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For example, through our European representative, we filed an opposition in the European Patent Office, or EPO, to a patent granted to St. Vincent’s Hospital Sydney Limited, or St. Vincent’s, claiming the use of MIC-1, also known as GDF15, in the treatment of obesity. In the first instance proceedings, the Opposition Division at the EPO upheld the patent as granted. We have appealed this decision to the Board of Appeals at the EPO, and the patentee filed its reply to our grounds for appeal in November 2018. Although there are uncertainties regarding EPO appeal timelines, summons to oral proceedings will likely issue towards the end of 2019, and oral proceedings are likely to be scheduled six to twelve months thereafter. The St. Vincent’s patent as granted is currently scheduled to expire in April 2025. Even should the patent be upheld on appeal, we and our collaborator do not believe that NGM386 and/or NGM395 would be commercially launched until after expiration of the patent. In addition, we and our collaborator have filed an opposition in the EPO to a patent granted to Amgen Inc., or Amgen, claiming the use of GDF15 polypeptides for the treatment of several metabolic disorders. At the first instance proceedings, the Opposition Division at the EPO maintained the patent in amended form, with claims not including obesity, the indication for which we are presently pursuing regulatory approval for NGM386 and NGM395. We plan to appeal this decision to the Board of Appeals at the EPO. The Amgen patent as granted is currently scheduled to expire in April 2032. If these patents have not expired, or are not ultimately deemed invalid in appeals stemming from the opposition proceedings, and/or our non-infringement positions are not upheld, and these patents are successfully asserted against us in a European country court proceeding after the approval of either of our NGM386 or NGM395 product candidates for the treatment of obesity in Europe, then we may be required to obtain licenses to such patents in order to commercialize our GDF15 program product candidates, and there can be no assurance that such licenses would be available on commercially reasonable terms, or at all.</w:t>
      </w:r>
    </w:p>
    <w:p>
      <w:pPr>
        <w:spacing w:after="0" w:line="214"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Additionally, in November 2018 we filed an opposition in the EPO to a patent granted to Genentech, Inc., or Genentech, claiming the use of an anti-KLB agonist antibody for treating diabetes mellitus or insulin resistance. We are one of two opponents challenging the Genentech patent as granted on numerous grounds, including lack of novelty and inventive step, insufficiency and claiming subject matter that extends beyond the application as originally filed. The deadline for Genentech’s response to opposition is April 2019. Thereafter, the EPO’s summons to oral proceedings is expected in the range of July to September 2019. The Genentech patent is currently scheduled to expire in April 2028. If the Genentech patent is not invalidated in the opposition proceedings and appeals, has not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expired and/or our non-infringement positions are not upheld, and this patent is successfully asserted against us or our collaborator in a European country court proceeding after the approval of our NGM313 product candidate for the treatment of diabetes in Europe, then we and/or our collaborator may be required to obtain a license to this patent in order to commercialize our NGM313 product candidate, and there can be no assurance that such license would be available on commercially reasonable terms, or at all. An unfavorable outcome in any such proceeding could require us or our collaborator to cease using the related technology or developing or commercializing our product candidates, or to attempt to license rights to it from the prevailing party, which may not be available on commercially reasonable terms, or at all.</w:t>
      </w:r>
    </w:p>
    <w:p>
      <w:pPr>
        <w:spacing w:after="0" w:line="203"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 There can be no assurance that such searches will identify all potentially relevant patents or patent applications, and the failure to identify any such patents or patent applications could have a material adverse effect on the commercialization of our product candidates.</w:t>
      </w:r>
    </w:p>
    <w:p>
      <w:pPr>
        <w:spacing w:after="0" w:line="205"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above, or any appeals stemming therefrom.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substantial licensing and royalty payments. Any of the foregoing would have a material adverse effect on our business, financial condition and operating results.</w:t>
      </w:r>
    </w:p>
    <w:p>
      <w:pPr>
        <w:spacing w:after="0" w:line="283"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68"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9"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If we breach any license agreement related to our product candidates, we could lose the ability to continue the development and commercialization of our product candidates.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a license agreement with Lonza Sales AG, or Lonza Sales, under which we license cell lines used to produce our product candidates that are currently subject to our collaboration with Merck. We require Lonza Sales’ prior consent to grant sub-licenses under this agreement and therefore Lonza Sales may be able to prevent us from granting sub -licenses to third parties, which could affect our ability or Merck’s ability to use certain desired manufacturers in order to manufacture our product candidates.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See the section titled “Business—Intellectual Property—Licensing Arrangements” for more information regarding this agreement. 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26"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addition to seeking patents for some of our technology and products, in our activities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6"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2" w:lineRule="exact"/>
        <w:rPr>
          <w:sz w:val="20"/>
          <w:szCs w:val="20"/>
          <w:color w:val="auto"/>
        </w:rPr>
      </w:pPr>
    </w:p>
    <w:p>
      <w:pPr>
        <w:ind w:left="960" w:right="100" w:hanging="216"/>
        <w:spacing w:after="0" w:line="24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102"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file patent applications covering certain of our or their inventions;</w:t>
      </w:r>
    </w:p>
    <w:p>
      <w:pPr>
        <w:spacing w:after="0" w:line="102"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17" w:lineRule="exact"/>
        <w:rPr>
          <w:rFonts w:ascii="Arial" w:cs="Arial" w:eastAsia="Arial" w:hAnsi="Arial"/>
          <w:sz w:val="18"/>
          <w:szCs w:val="18"/>
          <w:color w:val="auto"/>
        </w:rPr>
      </w:pPr>
    </w:p>
    <w:p>
      <w:pPr>
        <w:ind w:left="960" w:right="620" w:hanging="216"/>
        <w:spacing w:after="0" w:line="246"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line="246"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97"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2"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8"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determined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shares of our common stock as consideration.</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26" w:lineRule="exact"/>
        <w:rPr>
          <w:sz w:val="20"/>
          <w:szCs w:val="20"/>
          <w:color w:val="auto"/>
        </w:rPr>
      </w:pPr>
    </w:p>
    <w:p>
      <w:pPr>
        <w:ind w:left="200" w:right="600" w:firstLine="551"/>
        <w:spacing w:after="0"/>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108" w:lineRule="exact"/>
        <w:rPr>
          <w:sz w:val="20"/>
          <w:szCs w:val="20"/>
          <w:color w:val="auto"/>
        </w:rPr>
      </w:pPr>
    </w:p>
    <w:p>
      <w:pPr>
        <w:ind w:left="960" w:right="56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960" w:right="540" w:hanging="216"/>
        <w:spacing w:after="0" w:line="246"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89" w:lineRule="exact"/>
        <w:rPr>
          <w:sz w:val="20"/>
          <w:szCs w:val="20"/>
          <w:color w:val="auto"/>
        </w:rPr>
      </w:pPr>
    </w:p>
    <w:p>
      <w:pPr>
        <w:ind w:left="200" w:right="840"/>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8"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 stockholder lawsuit could also divert the time and attention of our management. Securities litigation against us could result in substantial costs and divert our management’s attention from other business concerns, which could seriously harm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6"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20"/>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Merck, and management own a significant percentage of our stock and will be able to exert significant control over matters subject to stockholder approval.</w:t>
      </w:r>
    </w:p>
    <w:p>
      <w:pPr>
        <w:spacing w:after="0" w:line="68"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Prior to this offering and the concurrent private placement to Merck, our executive officers, directors, holders of 5% or more of our capital stock and their respective affiliates beneficially owned approximately 77.3% of our voting stock and, upon completion of this offering and the concurrent private placement to Merck, and reflecting the purchase in this offering of 1,875,000 shares of our common stock by entities affiliated with The Column Group. That same group will hold approximately 80.2%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in connection with this offering. In particular, after this offering and the concurrent private placement, Merck will own approximately 19.9% of our voting stock and entities affiliated with The Column Group will own approximately 23.7% of our voting stock. After this offering and the concurrent private placement to Merck, this group of stockholders will have the ability to control us through this ownership position even if they do not purchase any additional shares in this offering. However, Merck has granted a proxy to the chairman of our board of directors to vote Merck’s shares in favor of any action recommended and approved by our board of directors, subject to certain exceptions.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300"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83" w:lineRule="exact"/>
        <w:rPr>
          <w:sz w:val="20"/>
          <w:szCs w:val="20"/>
          <w:color w:val="auto"/>
        </w:rPr>
      </w:pPr>
    </w:p>
    <w:p>
      <w:pPr>
        <w:ind w:left="200" w:right="860" w:firstLine="551"/>
        <w:spacing w:after="0" w:line="275" w:lineRule="auto"/>
        <w:rPr>
          <w:sz w:val="20"/>
          <w:szCs w:val="20"/>
          <w:color w:val="auto"/>
        </w:rPr>
      </w:pPr>
      <w:r>
        <w:rPr>
          <w:rFonts w:ascii="Arial" w:cs="Arial" w:eastAsia="Arial" w:hAnsi="Arial"/>
          <w:sz w:val="17"/>
          <w:szCs w:val="17"/>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79" w:lineRule="exact"/>
        <w:rPr>
          <w:sz w:val="20"/>
          <w:szCs w:val="20"/>
          <w:color w:val="auto"/>
        </w:rPr>
      </w:pPr>
    </w:p>
    <w:p>
      <w:pPr>
        <w:ind w:left="960" w:right="120" w:hanging="216"/>
        <w:spacing w:after="0" w:line="246"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requiring that our independent registered public accounting firm provide an attestation report on the effectiveness of our internal control over financial reporting;</w:t>
      </w:r>
    </w:p>
    <w:p>
      <w:pPr>
        <w:spacing w:after="0" w:line="102" w:lineRule="exact"/>
        <w:rPr>
          <w:rFonts w:ascii="Arial" w:cs="Arial" w:eastAsia="Arial" w:hAnsi="Arial"/>
          <w:sz w:val="18"/>
          <w:szCs w:val="18"/>
          <w:color w:val="auto"/>
        </w:rPr>
      </w:pPr>
    </w:p>
    <w:p>
      <w:pPr>
        <w:ind w:left="960" w:hanging="216"/>
        <w:spacing w:after="0" w:line="257" w:lineRule="auto"/>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 and</w:t>
      </w:r>
    </w:p>
    <w:p>
      <w:pPr>
        <w:spacing w:after="0" w:line="94" w:lineRule="exact"/>
        <w:rPr>
          <w:rFonts w:ascii="Arial" w:cs="Arial" w:eastAsia="Arial" w:hAnsi="Arial"/>
          <w:sz w:val="17"/>
          <w:szCs w:val="17"/>
          <w:color w:val="auto"/>
        </w:rPr>
      </w:pPr>
    </w:p>
    <w:p>
      <w:pPr>
        <w:ind w:left="960" w:right="540" w:hanging="216"/>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3" w:lineRule="exact"/>
        <w:rPr>
          <w:sz w:val="20"/>
          <w:szCs w:val="20"/>
          <w:color w:val="auto"/>
        </w:rPr>
      </w:pPr>
    </w:p>
    <w:p>
      <w:pPr>
        <w:ind w:left="200" w:right="520" w:firstLine="551"/>
        <w:spacing w:after="0" w:line="246"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“emerging growth company” upon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89"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See “Management’s Discussion and Analysis of Financial Condition and Results of Operations—Newly Issued Accounting Pronouncements.”</w:t>
      </w:r>
    </w:p>
    <w:p>
      <w:pPr>
        <w:spacing w:after="0" w:line="189"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 xml:space="preserve">In particular, 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standards applicable to public companies until such pronouncements are made applicable to private companies. We have elected to use this extended transition period under the JOBS Act with respect to ASU 2014-09 and anticipate adopting ASU 2014-09 effective January 1, 2019, under the modified retrospective method. While we have not completed our final assessment of the impact, the adoption of ASU 2014-09 may have a material effect on our consolidated financial statements.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As a public company, we will be subject to the reporting requirements of the Exchange Act, the Sarbanes-Oxley Act of 2002,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0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We are not currently required to comply with the SEC’s rules that implement Section 404 of the Sarbanes-Oxley Act, or Section 404, and are therefore not yet required to make a formal assessment of the effectiveness of our internal control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and we cannot assure you that there will not be material weaknesses or significant deficiencies in our internal controls in the future.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64,993,706 shares of common stock based on the number of shares outstanding as of December 31, 2018, assuming: (i) no exercise of the underwriters’ option to purchase up to 1,000,000 additional shares; and (ii) the conversion of all outstanding shares of our convertible preferred stock into 47,267,466 shares of common stock upon the completion of this offering. This includes the shares that we sell in this offering, which may be resold in the public market immediately without restriction, unless purchased by our affiliates, and the private placement to Merck. Substantially all of the shares of our common stock not sold in this offering (including shares issuable upon exercise or conversion of existing securities and shares issuable to Merck in the concurrent private placement) will be locked up as a result of securities laws or lock-up agreements but will be able to be sold after this offering as described in the section titled “Shares Eligible for Future Sale.” Moreover, after this offering, holders of an aggregate of 47,267,466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section titled “Underwriting.”</w:t>
      </w:r>
    </w:p>
    <w:p>
      <w:pPr>
        <w:spacing w:after="0" w:line="288"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68"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 $10.64 per share, based on the initial public offering price of $16.00 per share. Further, investors purchasing common stock in this offering will contribute approximately 22% of the total amount invested by stockholders since our inception, but will own only approximately 10% of the shares of common stock outstanding.</w:t>
      </w:r>
    </w:p>
    <w:p>
      <w:pPr>
        <w:spacing w:after="0" w:line="205"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This dilution is due to our investors who purchased shares prior to this offering having paid substantially less than the price offered to the public in this offering when they purchased their shares including the exercise of stock options granted to our employees. As of December 31, 2018, options to purchase 9,806,689 shares of our common stock at a weighted average exercise price of $5.86 per share were outstanding, and all options are currently exercisable. The exercise of any of these options would result in additional dilution. As a result of the dilution to investors purchasing shares in this offering, investors may receive significantly less than the purchase price paid in this offering, if anything, in the event of a liquidation.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6"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6"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Upon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5"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8" w:lineRule="exact"/>
        <w:rPr>
          <w:sz w:val="20"/>
          <w:szCs w:val="20"/>
          <w:color w:val="auto"/>
        </w:rPr>
      </w:pPr>
    </w:p>
    <w:p>
      <w:pPr>
        <w:jc w:val="both"/>
        <w:ind w:left="200" w:right="100"/>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3"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that will become effective upon the completion of this offering,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107" w:lineRule="exact"/>
        <w:rPr>
          <w:sz w:val="20"/>
          <w:szCs w:val="20"/>
          <w:color w:val="auto"/>
        </w:rPr>
      </w:pPr>
    </w:p>
    <w:p>
      <w:pPr>
        <w:ind w:left="960" w:hanging="216"/>
        <w:spacing w:after="0" w:line="246"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02"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02"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02"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Certain provisions in our collaboration agreements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 See the section titled “Business—Our Collaboration with Merck” for more information.</w:t>
      </w:r>
    </w:p>
    <w:p>
      <w:pPr>
        <w:spacing w:after="0" w:line="202"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collaboration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8" w:lineRule="exact"/>
        <w:rPr>
          <w:sz w:val="20"/>
          <w:szCs w:val="20"/>
          <w:color w:val="auto"/>
        </w:rPr>
      </w:pPr>
    </w:p>
    <w:p>
      <w:pPr>
        <w:ind w:left="200" w:right="46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88" w:lineRule="exact"/>
        <w:rPr>
          <w:sz w:val="20"/>
          <w:szCs w:val="20"/>
          <w:color w:val="auto"/>
        </w:rPr>
      </w:pPr>
    </w:p>
    <w:p>
      <w:pPr>
        <w:ind w:left="200" w:right="40" w:firstLine="551"/>
        <w:spacing w:after="0" w:line="235" w:lineRule="auto"/>
        <w:rPr>
          <w:sz w:val="20"/>
          <w:szCs w:val="20"/>
          <w:color w:val="auto"/>
        </w:rPr>
      </w:pPr>
      <w:r>
        <w:rPr>
          <w:rFonts w:ascii="Arial" w:cs="Arial" w:eastAsia="Arial" w:hAnsi="Arial"/>
          <w:sz w:val="18"/>
          <w:szCs w:val="18"/>
          <w:color w:val="auto"/>
        </w:rPr>
        <w:t>Our amended and restated certificate of incorporation to be in effect upon the completion of this offering will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to be in effect upon the completion of this offering will provide further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 For example, the Court of Chancery of the State of Delaware recently determined that the exclusive forum provision of federal district courts of the United States for resolving any complaint asserting a cause of action arising under the Securities Act is not enforceable. However, this decision may be reviewed and ultimately overturned by the Delaware Supreme Court. If this ultimate adjudication were to occur, the federal district court exclusive forum provision in our amended and restated certificate of incorporation would no longer be contingent.</w:t>
      </w:r>
    </w:p>
    <w:p>
      <w:pPr>
        <w:spacing w:after="0" w:line="301"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or if they cease to cover our company, the trading price for our stock would likely be negatively impacted. In the event that securities or industry analysts initiate coverage, if one or more of the analysts who cover us downgrade our stock or publish inaccurate or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240" w:top="459" w:right="5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This prospectus, including the sections titled “Prospectus Summary,” “Risk Factors,” “Management’s Discussion and Analysis of Financial Condition and Results of Operations” and “Business,”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prospectus include, but are not limited to, statements about:</w:t>
      </w:r>
    </w:p>
    <w:p>
      <w:pPr>
        <w:spacing w:after="0" w:line="111" w:lineRule="exact"/>
        <w:rPr>
          <w:sz w:val="20"/>
          <w:szCs w:val="20"/>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17" w:lineRule="exact"/>
        <w:rPr>
          <w:rFonts w:ascii="Arial" w:cs="Arial" w:eastAsia="Arial" w:hAnsi="Arial"/>
          <w:sz w:val="18"/>
          <w:szCs w:val="18"/>
          <w:color w:val="auto"/>
        </w:rPr>
      </w:pPr>
    </w:p>
    <w:p>
      <w:pPr>
        <w:jc w:val="both"/>
        <w:ind w:left="960" w:right="40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or our partners’ ability to obtain and maintain regulatory approval for NGM282, NGM313, NGM386, NGM395, NGM120, NGM217, NGM621 and any of our future product candidates, and any related restrictions, limitations, and/or warnings in the label of an approved product candidate;</w:t>
      </w:r>
    </w:p>
    <w:p>
      <w:pPr>
        <w:spacing w:after="0" w:line="108"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belief that NGM282 will have a superior therapeutic profile in NASH patients with moderate to advanced fibrosis based on clinical data showing reduced liver fat content, liver aminotransferase levels and fibrosis marker levels;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belief in the impact of our product candidate side effects and our ability to effectively manage these side effects;</w:t>
      </w:r>
    </w:p>
    <w:p>
      <w:pPr>
        <w:spacing w:after="0" w:line="117"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belief that NGM313 will have a superior therapeutic profile in NASH patients with early stage fibrosis based on clinical data showing reduced liver fat content and liver aminotransferase levels, along with improved measures of insulin sensitivity;</w:t>
      </w:r>
    </w:p>
    <w:p>
      <w:pPr>
        <w:spacing w:after="0" w:line="102" w:lineRule="exact"/>
        <w:rPr>
          <w:rFonts w:ascii="Arial" w:cs="Arial" w:eastAsia="Arial" w:hAnsi="Arial"/>
          <w:sz w:val="18"/>
          <w:szCs w:val="18"/>
          <w:color w:val="auto"/>
        </w:rPr>
      </w:pPr>
    </w:p>
    <w:p>
      <w:pPr>
        <w:ind w:left="960" w:right="300" w:hanging="216"/>
        <w:spacing w:after="0" w:line="246"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renewal of our collaboration agreement with Merck and Merck’s decision to exercise its option to license certain programs upon our completion of a proof-of-concept study in humans;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17" w:lineRule="exact"/>
        <w:rPr>
          <w:rFonts w:ascii="Arial" w:cs="Arial" w:eastAsia="Arial" w:hAnsi="Arial"/>
          <w:sz w:val="18"/>
          <w:szCs w:val="18"/>
          <w:color w:val="auto"/>
        </w:rPr>
      </w:pPr>
    </w:p>
    <w:p>
      <w:pPr>
        <w:ind w:left="960" w:right="540" w:hanging="216"/>
        <w:spacing w:after="0" w:line="246"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commercialization of NGM282, NGM313, NGM386, NGM395, NGM217, NGM120 and NGM621, or any other future approved product;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performance of third-party suppliers and manufacturers;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use of the net proceeds from this offering; and</w:t>
      </w:r>
    </w:p>
    <w:p>
      <w:pPr>
        <w:spacing w:after="0" w:line="117"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These forward-looking statements reflect our management’s beliefs and views with respect to future events and are based on estimates and assumptions as of the date of this prospectus and are subject to risks and uncertainties. We discuss many of these risks in greater detail under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203"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Except as required by law, we undertake no obligation to publicly update any forward-looking statements, whether as a result of new information, future events or otherwise.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INDUSTRY AND MARKET DATA</w:t>
      </w:r>
    </w:p>
    <w:p>
      <w:pPr>
        <w:spacing w:after="0" w:line="234"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including estimated market size, projected growth rates and the prevalence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This industry, business, market, medical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medical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208"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In some cases, we do not expressly refer to the sources from which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240" w:top="459"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estimate that we will receive net proceeds of approximately $95.7 million, or approximately $110.6 million if the underwriters exercise their option to purchase additional shares in full, from the sale of the shares of common stock offered by us in this offering, after deducting the underwriting discounts and commissions and estimated offering expenses payable by us. Additionally, we estimate that our net proceeds from the concurrent private placement to Merck will be $65.9 million.</w:t>
      </w:r>
    </w:p>
    <w:p>
      <w:pPr>
        <w:spacing w:after="0" w:line="20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The principal purposes of this offering are to obtain additional capital to support our operations, to establish a public market for our common stock and to facilitate our future access to the public equity markets. We anticipate that we will use the net proceeds of this offering, together with our existing cash, cash equivalents and short-term marketable securities, for the following purposes:</w:t>
      </w:r>
    </w:p>
    <w:p>
      <w:pPr>
        <w:spacing w:after="0" w:line="108" w:lineRule="exact"/>
        <w:rPr>
          <w:sz w:val="20"/>
          <w:szCs w:val="20"/>
          <w:color w:val="auto"/>
        </w:rPr>
      </w:pPr>
    </w:p>
    <w:p>
      <w:pPr>
        <w:ind w:left="960" w:hanging="216"/>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$95.0 to $105.0 million to fund the further development of the NGM282 program and related product candidates;</w:t>
      </w:r>
    </w:p>
    <w:p>
      <w:pPr>
        <w:spacing w:after="0" w:line="117" w:lineRule="exact"/>
        <w:rPr>
          <w:rFonts w:ascii="Arial" w:cs="Arial" w:eastAsia="Arial" w:hAnsi="Arial"/>
          <w:sz w:val="18"/>
          <w:szCs w:val="18"/>
          <w:color w:val="auto"/>
        </w:rPr>
      </w:pPr>
    </w:p>
    <w:p>
      <w:pPr>
        <w:ind w:left="960" w:right="220" w:hanging="216"/>
        <w:spacing w:after="0" w:line="246"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$45.0 to $55.0 million to fund the development of our other programs, including our early-stage drug discovery programs and pre-commercialization activities;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remainder for working capital and general operating expenses.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expect to decide whether to advance NGM386 and/or NGM395 following our analysis of the results of the NGM386 Phase 1</w:t>
      </w:r>
    </w:p>
    <w:p>
      <w:pPr>
        <w:ind w:left="200"/>
        <w:spacing w:after="0"/>
        <w:rPr>
          <w:sz w:val="20"/>
          <w:szCs w:val="20"/>
          <w:color w:val="auto"/>
        </w:rPr>
      </w:pPr>
      <w:r>
        <w:rPr>
          <w:rFonts w:ascii="Arial" w:cs="Arial" w:eastAsia="Arial" w:hAnsi="Arial"/>
          <w:sz w:val="18"/>
          <w:szCs w:val="18"/>
          <w:color w:val="auto"/>
        </w:rPr>
        <w:t>trial.</w:t>
      </w:r>
    </w:p>
    <w:p>
      <w:pPr>
        <w:spacing w:after="0" w:line="212" w:lineRule="exact"/>
        <w:rPr>
          <w:sz w:val="20"/>
          <w:szCs w:val="20"/>
          <w:color w:val="auto"/>
        </w:rPr>
      </w:pPr>
    </w:p>
    <w:p>
      <w:pPr>
        <w:ind w:left="200" w:right="840" w:firstLine="551"/>
        <w:spacing w:after="0" w:line="246"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97"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We believe that the net proceeds from this offering, together with our existing cash, cash equivalents and short-term marketable securities and the funding we expect to receive under the initial term of our existing agreement with Merck, will be sufficient to fund our operations through 2020, or through 2021 with the additional proceeds from the concurrent private placement to Merck. In particular, we expect that these funds will allow us to complete our ongoing Phase 2 and planned Phase 2b clinical trials and begin preparation for Phase 3 clinical trials of NGM282 for NASH.</w:t>
      </w:r>
    </w:p>
    <w:p>
      <w:pPr>
        <w:spacing w:after="0" w:line="203"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Following this offering, we will require substantial capital to complete clinical development, seek regulatory approval of and, if approved, commercialize NGM282 and our other programs. For each</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240" w:top="459" w:right="5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compound subject to our agreement with Merck, Merck has a one-time option to obtain an exclusive, worldwide license. If Merck chooses to exercise its option with respect to a compound, from that point forward all development costs relating to that compound will be paid for by Merck, unless we elect to exercise our worldwide cost and profit sharing option at the commencement of Phase 3 testing, at which point we would be responsible for a portion of the future development expense. We will incur additional expenses for the development of any compound for which Merck does not exercise its option, for which Merck elects to terminate its license, such as NGM386 and NGM395, or for which we elect to exercise our worldwide cost and profit sharing option. We may seek additional funds through public or private equity, debt financings or other sources, including strategic collaborations. However, changing circumstances may cause us to consume capital significantly faster than we currently anticipate, and we may need to spend more money than currently expected because of circumstances beyond our control.</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the progress of our clinical trials and other development efforts for our product candidates and other factors described in the section titled “Risk Factors,” as well as the amount of cash we use in our operations. As a result, our management will have broad discretion in the application of the net proceeds, and investors will be relying on our judgment regarding the application of the net proceeds of this offering. In addition, we might decide to postpone or not pursue clinical trials or preclinical activities if the net proceeds from this offering and the other sources of cash are less than expected.</w:t>
      </w:r>
    </w:p>
    <w:p>
      <w:pPr>
        <w:spacing w:after="0" w:line="208"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U.S. government.</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240" w:top="459" w:right="6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our cash, cash equivalents and short-term marketable securities, and our capitalization as of</w:t>
      </w:r>
    </w:p>
    <w:p>
      <w:pPr>
        <w:ind w:left="200"/>
        <w:spacing w:after="0"/>
        <w:rPr>
          <w:sz w:val="20"/>
          <w:szCs w:val="20"/>
          <w:color w:val="auto"/>
        </w:rPr>
      </w:pPr>
      <w:r>
        <w:rPr>
          <w:rFonts w:ascii="Arial" w:cs="Arial" w:eastAsia="Arial" w:hAnsi="Arial"/>
          <w:sz w:val="18"/>
          <w:szCs w:val="18"/>
          <w:color w:val="auto"/>
        </w:rPr>
        <w:t>December 31, 2018, as follows:</w:t>
      </w:r>
    </w:p>
    <w:p>
      <w:pPr>
        <w:spacing w:after="0" w:line="117" w:lineRule="exact"/>
        <w:rPr>
          <w:sz w:val="20"/>
          <w:szCs w:val="20"/>
          <w:color w:val="auto"/>
        </w:rPr>
      </w:pPr>
    </w:p>
    <w:p>
      <w:pPr>
        <w:ind w:left="960" w:hanging="216"/>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960" w:right="280" w:hanging="216"/>
        <w:spacing w:after="0" w:line="238"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giving effect to (1) the automatic conversion of all our outstanding convertible preferred stock as of December 31, 2018 into an aggregate of 47,267,466 shares of our common stock in connection with the completion of this offering, (2) the conversion of our Series A convertible preferred stock warrant as of December 31, 2018 into 19,637 shares of our common stock in connection with the completion of this offering, and (3) the filing and effectiveness of our amended and restated certificate of incorporation, which will occur upon the completion of this offering; and</w:t>
      </w:r>
    </w:p>
    <w:p>
      <w:pPr>
        <w:spacing w:after="0" w:line="108" w:lineRule="exact"/>
        <w:rPr>
          <w:rFonts w:ascii="Arial" w:cs="Arial" w:eastAsia="Arial" w:hAnsi="Arial"/>
          <w:sz w:val="18"/>
          <w:szCs w:val="18"/>
          <w:color w:val="auto"/>
        </w:rPr>
      </w:pPr>
    </w:p>
    <w:p>
      <w:pPr>
        <w:ind w:left="960" w:right="60" w:hanging="216"/>
        <w:spacing w:after="0" w:line="239"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discussed above and giving further effect to the receipt of the estimated net proceeds from the sale of 10,788,350 shares of common stock in this offering and the concurrent private placement to Merck at the public offering price and private placement purchase price of $16.00 per share, after deducting underwriting discounts and commissions and estimated offering expenses payable by us.</w:t>
      </w:r>
    </w:p>
    <w:p>
      <w:pPr>
        <w:spacing w:after="0" w:line="202" w:lineRule="exact"/>
        <w:rPr>
          <w:sz w:val="20"/>
          <w:szCs w:val="20"/>
          <w:color w:val="auto"/>
        </w:rPr>
      </w:pPr>
    </w:p>
    <w:p>
      <w:pPr>
        <w:jc w:val="both"/>
        <w:ind w:left="200" w:right="300" w:firstLine="551"/>
        <w:spacing w:after="0" w:line="257" w:lineRule="auto"/>
        <w:rPr>
          <w:sz w:val="20"/>
          <w:szCs w:val="20"/>
          <w:color w:val="auto"/>
        </w:rPr>
      </w:pPr>
      <w:r>
        <w:rPr>
          <w:rFonts w:ascii="Arial" w:cs="Arial" w:eastAsia="Arial" w:hAnsi="Arial"/>
          <w:sz w:val="17"/>
          <w:szCs w:val="17"/>
          <w:color w:val="auto"/>
        </w:rPr>
        <w:t>The pro forma information below is illustrative only and our capitalization following the completion of this offering will be adjusted based on the actual initial public offering price and other terms of this offering determined at pricing. You should read this table together with the sections titled “Selected Consolidated Financial Data” and “Management’s Discussion and Analysis of Financial Condition and Results of Operations” and our consolidated financial statements and the related notes included elsewhere in this prospectus.</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As of December 31, 2018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rPr>
              <w:t>(in thousands, except share amounts)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5"/>
                <w:szCs w:val="15"/>
                <w:color w:val="auto"/>
              </w:rPr>
            </w:pPr>
          </w:p>
        </w:tc>
        <w:tc>
          <w:tcPr>
            <w:tcW w:w="13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Pro Forma</w:t>
            </w:r>
          </w:p>
        </w:tc>
        <w:tc>
          <w:tcPr>
            <w:tcW w:w="10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short-term marketable securities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206,633</w:t>
            </w: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206,633</w:t>
            </w:r>
          </w:p>
        </w:tc>
        <w:tc>
          <w:tcPr>
            <w:tcW w:w="4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368,280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gridSpan w:val="2"/>
          </w:tcPr>
          <w:p>
            <w:pPr>
              <w:spacing w:after="0" w:line="196" w:lineRule="exact"/>
              <w:rPr>
                <w:sz w:val="20"/>
                <w:szCs w:val="20"/>
                <w:color w:val="auto"/>
              </w:rPr>
            </w:pPr>
            <w:r>
              <w:rPr>
                <w:rFonts w:ascii="Arial" w:cs="Arial" w:eastAsia="Arial" w:hAnsi="Arial"/>
                <w:sz w:val="18"/>
                <w:szCs w:val="18"/>
                <w:color w:val="auto"/>
              </w:rPr>
              <w:t>Convertible preferred stock warrant liability</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c>
          <w:tcPr>
            <w:tcW w:w="6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 96,268,206 shares authorized,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47,267,466 shares issued and outstanding, actual; no shares authorized, issued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outstanding, pro forma and pro forma as adjusted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$0.001 par value; no shares authorized, issued and outstanding,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actual; 10,000,000 shares authorized, no shares issued and outstanding, pro forma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pro forma as adjusted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spacing w:after="0" w:line="201" w:lineRule="exact"/>
              <w:rPr>
                <w:sz w:val="20"/>
                <w:szCs w:val="20"/>
                <w:color w:val="auto"/>
              </w:rPr>
            </w:pPr>
            <w:r>
              <w:rPr>
                <w:rFonts w:ascii="Arial" w:cs="Arial" w:eastAsia="Arial" w:hAnsi="Arial"/>
                <w:sz w:val="18"/>
                <w:szCs w:val="18"/>
                <w:color w:val="auto"/>
              </w:rPr>
              <w:t>Common stock, $0.001 par value; 129,000,000 shares authorized, 6,937,890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60"/>
              <w:spacing w:after="0" w:line="202" w:lineRule="exact"/>
              <w:rPr>
                <w:sz w:val="20"/>
                <w:szCs w:val="20"/>
                <w:color w:val="auto"/>
              </w:rPr>
            </w:pPr>
            <w:r>
              <w:rPr>
                <w:rFonts w:ascii="Arial" w:cs="Arial" w:eastAsia="Arial" w:hAnsi="Arial"/>
                <w:sz w:val="18"/>
                <w:szCs w:val="18"/>
                <w:color w:val="auto"/>
              </w:rPr>
              <w:t>issued and outstanding, actual; 400,000,000 shares authorized, 54,224,993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60"/>
              <w:spacing w:after="0" w:line="202" w:lineRule="exact"/>
              <w:rPr>
                <w:sz w:val="20"/>
                <w:szCs w:val="20"/>
                <w:color w:val="auto"/>
              </w:rPr>
            </w:pPr>
            <w:r>
              <w:rPr>
                <w:rFonts w:ascii="Arial" w:cs="Arial" w:eastAsia="Arial" w:hAnsi="Arial"/>
                <w:sz w:val="18"/>
                <w:szCs w:val="18"/>
                <w:color w:val="auto"/>
              </w:rPr>
              <w:t>issued and outstanding, pro forma; 65,013,343 issued and outstanding, pro forma as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160"/>
              <w:spacing w:after="0" w:line="203" w:lineRule="exact"/>
              <w:rPr>
                <w:sz w:val="20"/>
                <w:szCs w:val="20"/>
                <w:color w:val="auto"/>
              </w:rPr>
            </w:pPr>
            <w:r>
              <w:rPr>
                <w:rFonts w:ascii="Arial" w:cs="Arial" w:eastAsia="Arial" w:hAnsi="Arial"/>
                <w:sz w:val="18"/>
                <w:szCs w:val="18"/>
                <w:color w:val="auto"/>
              </w:rPr>
              <w:t>adjusted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54</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39,258</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334,283</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495,919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(267)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5"/>
              </w:rPr>
              <w:t>(147,193)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8"/>
              </w:rPr>
              <w:t>(147,193)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(147,193)</w:t>
            </w: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(108,195)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186,877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348,524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186,877</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186,877</w:t>
            </w:r>
          </w:p>
        </w:tc>
        <w:tc>
          <w:tcPr>
            <w:tcW w:w="4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348,524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143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The number of shares of our common stock outstanding after the offering and the concurrent private placement to Merck is based on 54,224,993 shares of our common stock outstanding as of December 31, 2018 (including convertible preferred stock then outstanding on an as-converted basis), and excludes:</w:t>
      </w:r>
    </w:p>
    <w:p>
      <w:pPr>
        <w:spacing w:after="0" w:line="108" w:lineRule="exact"/>
        <w:rPr>
          <w:sz w:val="20"/>
          <w:szCs w:val="20"/>
          <w:color w:val="auto"/>
        </w:rPr>
      </w:pPr>
    </w:p>
    <w:p>
      <w:pPr>
        <w:ind w:left="960" w:right="200" w:hanging="216"/>
        <w:spacing w:after="0" w:line="246"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9,806,689 shares of our common stock issuable upon the exercise of stock options outstanding as of December 31, 2018 at a weighted-average exercise price of $5.86 per share;</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1,550,250 shares of our common stock issuable upon the exercise of stock options granted after December 31, 2018 but before March 20, 2019 at an exercise price of $12.06 per share;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17,874,624 shares of our common stock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8" w:lineRule="exact"/>
        <w:rPr>
          <w:rFonts w:ascii="Arial" w:cs="Arial" w:eastAsia="Arial" w:hAnsi="Arial"/>
          <w:sz w:val="18"/>
          <w:szCs w:val="18"/>
          <w:color w:val="auto"/>
        </w:rPr>
      </w:pPr>
    </w:p>
    <w:p>
      <w:pPr>
        <w:ind w:left="960" w:right="80" w:hanging="21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1,000,000 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8"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36,751 shares of our common stock reserved for future issuance under our NGM Biopharmaceuticals Matching Plan, or the 401(k) Matching Plan, as of December 31, 2018.</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60"/>
          </w:cols>
          <w:pgMar w:left="24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jc w:val="both"/>
        <w:ind w:left="200" w:right="100" w:firstLine="551"/>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203"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Our historical net tangible book value (deficit) as of December 31, 2018 was approximately ($110.5) million, or ($15.93) per share of our common stock. Our historical net tangible book deficit is the amount of our total tangible assets less our deferred IPO costs, liabilities and convertible preferred stock, which is not included within stockholders’ deficit. Historical net tangible book deficit per share is our historical net tangible book deficit divided by the number of shares of common stock outstanding as of December 31, 2018.</w:t>
      </w:r>
    </w:p>
    <w:p>
      <w:pPr>
        <w:spacing w:after="0" w:line="202" w:lineRule="exact"/>
        <w:rPr>
          <w:sz w:val="20"/>
          <w:szCs w:val="20"/>
          <w:color w:val="auto"/>
        </w:rPr>
      </w:pPr>
    </w:p>
    <w:p>
      <w:pPr>
        <w:ind w:left="200" w:right="240" w:firstLine="551"/>
        <w:spacing w:after="0" w:line="255" w:lineRule="auto"/>
        <w:rPr>
          <w:sz w:val="20"/>
          <w:szCs w:val="20"/>
          <w:color w:val="auto"/>
        </w:rPr>
      </w:pPr>
      <w:r>
        <w:rPr>
          <w:rFonts w:ascii="Arial" w:cs="Arial" w:eastAsia="Arial" w:hAnsi="Arial"/>
          <w:sz w:val="17"/>
          <w:szCs w:val="17"/>
          <w:color w:val="auto"/>
        </w:rPr>
        <w:t>Our pro forma net tangible book value as of December 31, 2018 was $184.6 million, or $ 3.40 per share of common stock. Pro forma net tangible book value gives effect to the conversion of all of our outstanding convertible preferred stock into an aggregate of 47,267,466 shares of our common stock and the reclassification to additional paid-in capital of our Series A convertible preferred stock warrant liability in connection with the conversion of our outstanding Series A convertible preferred stock warrant into shares of common stock, which are included in stockholders’ equity, which will occur automatically in connection with the completion of this offering.</w:t>
      </w:r>
    </w:p>
    <w:p>
      <w:pPr>
        <w:spacing w:after="0" w:line="191" w:lineRule="exact"/>
        <w:rPr>
          <w:sz w:val="20"/>
          <w:szCs w:val="20"/>
          <w:color w:val="auto"/>
        </w:rPr>
      </w:pPr>
    </w:p>
    <w:p>
      <w:pPr>
        <w:ind w:left="200" w:right="340" w:firstLine="551"/>
        <w:spacing w:after="0" w:line="255" w:lineRule="auto"/>
        <w:rPr>
          <w:sz w:val="20"/>
          <w:szCs w:val="20"/>
          <w:color w:val="auto"/>
        </w:rPr>
      </w:pPr>
      <w:r>
        <w:rPr>
          <w:rFonts w:ascii="Arial" w:cs="Arial" w:eastAsia="Arial" w:hAnsi="Arial"/>
          <w:sz w:val="17"/>
          <w:szCs w:val="17"/>
          <w:color w:val="auto"/>
        </w:rPr>
        <w:t>Pro forma as adjusted net tangible book value is our pro forma net tangible book value, plus the effect of the sale of 10,788,350 shares of our common stock in this offering and the concurrent private placement to Merck at the initial public offering price and private placement purchase price of $ 16.00 per share, after deducting the underwriting discounts and commissions and estimated offering expenses payable by us. This amount represents an immediate increase in pro forma as adjusted net tangible book value of $1.96 per share to our existing stockholders, and an immediate dilution of $10.64 per share to new investors participating in this offering.</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9380" w:type="dxa"/>
            <w:vAlign w:val="bottom"/>
          </w:tcPr>
          <w:p>
            <w:pPr>
              <w:ind w:left="54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 per share</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16.00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tcPr>
          <w:p>
            <w:pPr>
              <w:ind w:left="340"/>
              <w:spacing w:after="0" w:line="201" w:lineRule="exact"/>
              <w:rPr>
                <w:sz w:val="20"/>
                <w:szCs w:val="20"/>
                <w:color w:val="auto"/>
              </w:rPr>
            </w:pPr>
            <w:r>
              <w:rPr>
                <w:rFonts w:ascii="Arial" w:cs="Arial" w:eastAsia="Arial" w:hAnsi="Arial"/>
                <w:sz w:val="18"/>
                <w:szCs w:val="18"/>
                <w:color w:val="auto"/>
              </w:rPr>
              <w:t>Pro forma net tangible book value per share as of December 31, 2018 before giving effect to this offering and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tcPr>
          <w:p>
            <w:pPr>
              <w:ind w:left="520"/>
              <w:spacing w:after="0" w:line="203" w:lineRule="exact"/>
              <w:rPr>
                <w:sz w:val="20"/>
                <w:szCs w:val="20"/>
                <w:color w:val="auto"/>
              </w:rPr>
            </w:pPr>
            <w:r>
              <w:rPr>
                <w:rFonts w:ascii="Arial" w:cs="Arial" w:eastAsia="Arial" w:hAnsi="Arial"/>
                <w:sz w:val="18"/>
                <w:szCs w:val="18"/>
                <w:color w:val="auto"/>
              </w:rPr>
              <w:t>the concurrent private placement</w:t>
            </w:r>
          </w:p>
        </w:tc>
        <w:tc>
          <w:tcPr>
            <w:tcW w:w="100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$3.40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pro forma net tangible book value per share attributable to investors participating in this offering and</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the concurrent private placement</w:t>
            </w:r>
          </w:p>
        </w:tc>
        <w:tc>
          <w:tcPr>
            <w:tcW w:w="100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this offering and the concurrent private placement</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as adjusted dilution per share to investors participating in this offering and the concurrent private</w:t>
            </w:r>
          </w:p>
        </w:tc>
        <w:tc>
          <w:tcPr>
            <w:tcW w:w="10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placement</w:t>
            </w:r>
          </w:p>
        </w:tc>
        <w:tc>
          <w:tcPr>
            <w:tcW w:w="11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jc w:val="right"/>
              <w:ind w:right="3690"/>
              <w:spacing w:after="0"/>
              <w:rPr>
                <w:sz w:val="20"/>
                <w:szCs w:val="20"/>
                <w:color w:val="auto"/>
              </w:rPr>
            </w:pPr>
            <w:r>
              <w:rPr>
                <w:rFonts w:ascii="Arial" w:cs="Arial" w:eastAsia="Arial" w:hAnsi="Arial"/>
                <w:sz w:val="18"/>
                <w:szCs w:val="18"/>
                <w:color w:val="auto"/>
              </w:rPr>
              <w:t>73</w:t>
            </w: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If the underwriters exercise in full their option to purchase 1,000,000 additional shares of our common stock in this offering, the pro forma as adjusted net tangible book value would be $5.51 per share, representing an immediate increase in pro forma as adjusted net tangible book value to existing stockholders of $2.11 per share, and the dilution to new investors purchasing shares in this offering would be $10.49 per share.</w:t>
      </w:r>
    </w:p>
    <w:p>
      <w:pPr>
        <w:spacing w:after="0" w:line="202"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The following table summarizes, on a pro forma as adjusted basis as of December 31, 2018, the number of shares of our common stock, the total consideration and the average price per share (i) paid to us by our existing stockholders and (ii) to be paid by new investors participating in this offering and the concurrent private placement to Merck at the initial public offering price and private placement purchase price of $16.00 per share, before deducting underwriting discounts and commissions and estimated offering expenses payable by us.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restart"/>
          </w:tcPr>
          <w:p>
            <w:pPr>
              <w:jc w:val="center"/>
              <w:ind w:left="441"/>
              <w:spacing w:after="0"/>
              <w:rPr>
                <w:sz w:val="20"/>
                <w:szCs w:val="20"/>
                <w:color w:val="auto"/>
              </w:rPr>
            </w:pPr>
            <w:r>
              <w:rPr>
                <w:rFonts w:ascii="Arial" w:cs="Arial" w:eastAsia="Arial" w:hAnsi="Arial"/>
                <w:sz w:val="14"/>
                <w:szCs w:val="14"/>
                <w:b w:val="1"/>
                <w:bCs w:val="1"/>
                <w:color w:val="auto"/>
                <w:w w:val="95"/>
              </w:rPr>
              <w:t>Total</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13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w w:val="99"/>
              </w:rPr>
              <w:t>Total Shares</w:t>
            </w: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gridSpan w:val="2"/>
            <w:vMerge w:val="restart"/>
          </w:tcPr>
          <w:p>
            <w:pPr>
              <w:jc w:val="center"/>
              <w:ind w:left="441"/>
              <w:spacing w:after="0"/>
              <w:rPr>
                <w:sz w:val="20"/>
                <w:szCs w:val="20"/>
                <w:color w:val="auto"/>
              </w:rPr>
            </w:pPr>
            <w:r>
              <w:rPr>
                <w:rFonts w:ascii="Arial" w:cs="Arial" w:eastAsia="Arial" w:hAnsi="Arial"/>
                <w:sz w:val="14"/>
                <w:szCs w:val="14"/>
                <w:b w:val="1"/>
                <w:bCs w:val="1"/>
                <w:color w:val="auto"/>
              </w:rPr>
              <w:t>Consideration</w:t>
            </w: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380" w:type="dxa"/>
            <w:vAlign w:val="bottom"/>
            <w:tcBorders>
              <w:bottom w:val="single" w:sz="8" w:color="auto"/>
            </w:tcBorders>
            <w:gridSpan w:val="2"/>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Borders>
              <w:bottom w:val="single" w:sz="8" w:color="auto"/>
            </w:tcBorders>
            <w:gridSpan w:val="2"/>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940" w:type="dxa"/>
            <w:vAlign w:val="bottom"/>
          </w:tcPr>
          <w:p>
            <w:pPr>
              <w:jc w:val="right"/>
              <w:ind w:right="116"/>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7"/>
              </w:rPr>
              <w:t>Percent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Percent</w:t>
            </w:r>
          </w:p>
        </w:tc>
        <w:tc>
          <w:tcPr>
            <w:tcW w:w="220" w:type="dxa"/>
            <w:vAlign w:val="bottom"/>
          </w:tcPr>
          <w:p>
            <w:pPr>
              <w:spacing w:after="0"/>
              <w:rPr>
                <w:sz w:val="15"/>
                <w:szCs w:val="15"/>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9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54,205,356</w:t>
            </w:r>
          </w:p>
        </w:tc>
        <w:tc>
          <w:tcPr>
            <w:tcW w:w="4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84%</w:t>
            </w:r>
          </w:p>
        </w:tc>
        <w:tc>
          <w:tcPr>
            <w:tcW w:w="22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$ 317,324,191</w:t>
            </w:r>
          </w:p>
        </w:tc>
        <w:tc>
          <w:tcPr>
            <w:tcW w:w="44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65%</w:t>
            </w: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Merck participation in the concurrent private placement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4,121,683</w:t>
            </w:r>
          </w:p>
        </w:tc>
        <w:tc>
          <w:tcPr>
            <w:tcW w:w="4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6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65,946,928</w:t>
            </w:r>
          </w:p>
        </w:tc>
        <w:tc>
          <w:tcPr>
            <w:tcW w:w="4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6,666,667</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106,666,672</w:t>
            </w:r>
          </w:p>
        </w:tc>
        <w:tc>
          <w:tcPr>
            <w:tcW w:w="44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rPr>
              <w:t>64,993,706</w:t>
            </w: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489,937,791</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If the underwriters exercise their option in full to purchase 1,000,000 additional shares of our common stock in this offering, the number of shares of common stock held by existing stockholders will be reduced to 82% of the total number of shares of common stock to be outstanding after this offering and the concurrent private placement to Merck, and the number of shares of common stock held by investors participating in this offering will be further increased to 11,788,350, or 18% of the total number of shares of common stock to be outstanding after this offering and the concurrent private placement to Merck.</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The foregoing discussion and tables are based on 54,224,993 shares of our common stock outstanding as of December 31, 2018 (including convertible preferred stock then outstanding on an as-converted basis), and excludes:</w:t>
      </w:r>
    </w:p>
    <w:p>
      <w:pPr>
        <w:spacing w:after="0" w:line="102" w:lineRule="exact"/>
        <w:rPr>
          <w:sz w:val="20"/>
          <w:szCs w:val="20"/>
          <w:color w:val="auto"/>
        </w:rPr>
      </w:pPr>
    </w:p>
    <w:p>
      <w:pPr>
        <w:ind w:left="960" w:right="200" w:hanging="216"/>
        <w:spacing w:after="0" w:line="246"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9,806,689 shares of our common stock issuable upon the exercise of stock options outstanding as of December 31, 2018 at a weighted-average exercise price of $5.86 per share;</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1,550,250 shares of our common stock issuable upon the exercise of stock options granted after December 31, 2018 but before March 20, 2019 at an exercise price of $12.06 per share;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17,874,624 shares of our common stock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8" w:lineRule="exact"/>
        <w:rPr>
          <w:rFonts w:ascii="Arial" w:cs="Arial" w:eastAsia="Arial" w:hAnsi="Arial"/>
          <w:sz w:val="18"/>
          <w:szCs w:val="18"/>
          <w:color w:val="auto"/>
        </w:rPr>
      </w:pPr>
    </w:p>
    <w:p>
      <w:pPr>
        <w:ind w:left="960" w:right="80" w:hanging="216"/>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1,000,000 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8"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36,751 shares of our common stock reserved for future issuance under our NGM Biopharmaceuticals Matching Plan, or the 401(k) Matching Plan, as of December 31, 2018.</w:t>
      </w:r>
    </w:p>
    <w:p>
      <w:pPr>
        <w:spacing w:after="0" w:line="197" w:lineRule="exact"/>
        <w:rPr>
          <w:sz w:val="20"/>
          <w:szCs w:val="20"/>
          <w:color w:val="auto"/>
        </w:rPr>
      </w:pPr>
    </w:p>
    <w:p>
      <w:pPr>
        <w:ind w:left="200" w:right="420" w:firstLine="551"/>
        <w:spacing w:after="0" w:line="239" w:lineRule="auto"/>
        <w:rPr>
          <w:sz w:val="20"/>
          <w:szCs w:val="20"/>
          <w:color w:val="auto"/>
        </w:rPr>
      </w:pPr>
      <w:r>
        <w:rPr>
          <w:rFonts w:ascii="Arial" w:cs="Arial" w:eastAsia="Arial" w:hAnsi="Arial"/>
          <w:sz w:val="18"/>
          <w:szCs w:val="18"/>
          <w:color w:val="auto"/>
        </w:rPr>
        <w:t>We may choose to raise additional capital through the sale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investors participating in this offering.</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4"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related notes and “Management’s Discussion and Analysis of Financial Condition and Results of Operations” appearing elsewhere in this prospectus. We derived the selected consolidated statements of operations data for the years ended December 31, 2017 and 2018 and the selected consolidated balance sheet data as of December 31, 2017 and 2018 from our audited consolidated financial statements and related notes appearing elsewhere in this prospectus. The selected consolidated financial data in this section are not intended to replace our consolidated financial statements and the related notes. Our historical results are not necessarily indicative of the results to be expected in the future.</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center"/>
              <w:ind w:left="655"/>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5"/>
          </w:tcPr>
          <w:p>
            <w:pPr>
              <w:jc w:val="center"/>
              <w:ind w:right="31"/>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and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revenue</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108,665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79,736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112,979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(17,425)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(15,219)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(1,060)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(14,159)</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7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(2.37)</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to compute net loss per common share, basic and diluted(1)</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5,961,767</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6,383,751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0" w:type="dxa"/>
            <w:vAlign w:val="bottom"/>
            <w:gridSpan w:val="2"/>
          </w:tcPr>
          <w:p>
            <w:pPr>
              <w:spacing w:after="0" w:line="196" w:lineRule="exact"/>
              <w:rPr>
                <w:sz w:val="20"/>
                <w:szCs w:val="20"/>
                <w:color w:val="auto"/>
              </w:rPr>
            </w:pPr>
            <w:r>
              <w:rPr>
                <w:rFonts w:ascii="Arial" w:cs="Arial" w:eastAsia="Arial" w:hAnsi="Arial"/>
                <w:sz w:val="18"/>
                <w:szCs w:val="18"/>
                <w:color w:val="auto"/>
              </w:rPr>
              <w:t>Pro forma net loss per common share, basic and diluted (unaudited)(1)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 per common share, basic and</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 (unaudited)(1)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53,651,217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740" w:right="140" w:hanging="53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180" w:type="dxa"/>
            <w:vAlign w:val="bottom"/>
            <w:gridSpan w:val="2"/>
          </w:tcPr>
          <w:p>
            <w:pPr>
              <w:jc w:val="right"/>
              <w:ind w:right="512"/>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3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46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$ 173,685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$ 206,633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46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159,998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192,096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46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248,941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246,085</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46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75,045</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59,406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46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121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46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294,874</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294,874</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468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(146,700)</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(147,193)</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468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(120,978)</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(108,195)</w:t>
            </w:r>
          </w:p>
        </w:tc>
      </w:tr>
      <w:tr>
        <w:trPr>
          <w:trHeight w:val="36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560" w:type="dxa"/>
            <w:vAlign w:val="bottom"/>
          </w:tcPr>
          <w:p>
            <w:pPr>
              <w:jc w:val="right"/>
              <w:ind w:right="3010"/>
              <w:spacing w:after="0"/>
              <w:rPr>
                <w:sz w:val="20"/>
                <w:szCs w:val="20"/>
                <w:color w:val="auto"/>
              </w:rPr>
            </w:pPr>
            <w:r>
              <w:rPr>
                <w:rFonts w:ascii="Arial" w:cs="Arial" w:eastAsia="Arial" w:hAnsi="Arial"/>
                <w:sz w:val="18"/>
                <w:szCs w:val="18"/>
                <w:color w:val="auto"/>
              </w:rPr>
              <w:t>76</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RESULTS OF OPERATIONS</w:t>
      </w:r>
    </w:p>
    <w:p>
      <w:pPr>
        <w:spacing w:after="0" w:line="19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Consolidated Financial Data” and our consolidated financial statements and related notes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mid-2019. In an ongoing Phase 2 clinical trial, NGM282 has demonstrated the ability to rapidly improve NASH and reverse liver fibrosis at 12 weeks. Our other programs are in Phase 1 clinical or preclinical testing and subject to our Merck collaboration described below.</w:t>
      </w:r>
    </w:p>
    <w:p>
      <w:pPr>
        <w:spacing w:after="0" w:line="208"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Sharp &amp; Dohme Corp., or Merck, that allows us to develop multiple product candidates in parallel without bearing substantially greater costs or incurring significantly greater risk compared to developing candidates on our own. For a detailed explanation see the section “Business—Our Collaboration with Merck.” Through December 31, 2018, Merck has paid us $336.4 million, of which $94.0 million was an upfront payment, $20.0 million was to license NGM313 and related compounds and $ 222.4 million was reimbursement of research and development expenses. On March 15, 2019, Merck exercised its option to extend the collaboration through March 17, 2022, and has the right to extend it again through March 17, 2024.</w:t>
      </w:r>
    </w:p>
    <w:p>
      <w:pPr>
        <w:spacing w:after="0" w:line="203"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We have incurred net losses in each year since our inception. Our consolidated net losses were $14.2 million and $0.5 million for the years ended December 31, 2017 and 2018, respectively. As of December 31, 2018, we had an accumulated deficit of $147.2 million.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203"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 $294.9 million, upfront license fees paid by collaboration partners of $123.0 million, the license of NGM313 and related compounds to Merck for $20.0 million and research and development service fees provided by collaboration partners of $239.2 million. We do not have any products approved for sale and do not anticipate generating revenue from product sales for the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foreseeable future, if ever. Accordingly, to fund further operations we may need to raise capital in addition to the net proceeds from this offering, the concurrent private placement to Merck and amounts that may be available under our collaboration agreement with Merck. Until such time as we can generate meaningful revenue from product sales, if ever, we expect to finance our operating activities through public or private equity or debt financings, collaborations, strategic alliances and licensing arrangements, government or other third-party funding, or a combination of these. We may not be able to secure additional funding on terms acceptable to us, or at all, and any failure to secure funding as and when needed could compromise our ability to execute on our business plan, which could materially and adversely affect our business, financial condition and results of operations.</w:t>
      </w:r>
    </w:p>
    <w:p>
      <w:pPr>
        <w:spacing w:after="0" w:line="203" w:lineRule="exact"/>
        <w:rPr>
          <w:sz w:val="20"/>
          <w:szCs w:val="20"/>
          <w:color w:val="auto"/>
        </w:rPr>
      </w:pPr>
    </w:p>
    <w:p>
      <w:pPr>
        <w:jc w:val="both"/>
        <w:ind w:left="200" w:right="500" w:firstLine="551"/>
        <w:spacing w:after="0"/>
        <w:rPr>
          <w:sz w:val="20"/>
          <w:szCs w:val="20"/>
          <w:color w:val="auto"/>
        </w:rPr>
      </w:pPr>
      <w:r>
        <w:rPr>
          <w:rFonts w:ascii="Arial" w:cs="Arial" w:eastAsia="Arial" w:hAnsi="Arial"/>
          <w:sz w:val="18"/>
          <w:szCs w:val="18"/>
          <w:color w:val="auto"/>
        </w:rPr>
        <w:t>We have no manufacturing facilities, and all of our manufacturing activities are contracted out to third parties. Additionally, we currently utilize third-party clinical research organizations, or CROs, to carry out our clinical development and we do not have a sales organization.</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Our revenue to date has been generated primarily from recognition of license fees and research and development service funding pursuant to our collaboration agreements, the most significant of which is with Merck. Merck is also a significant stockholder and, as such, collaboration revenue from Merck is referred to as related party revenue. We have not generated any revenue from commercial product sales to date. We receive research and development funding pursuant to our collaboration agreements, and we may also be entitled to receive additional milestone and other contingent payments pursuant to our research collaboration product development and license agreement with Merck upon the occurrence of specific events. Due to the nature of these collaboration agreements and the nonlinearity of the related revenue recognition, our revenue has fluctuated from period to period in the past and we expect that it will continue to fluctuate in future periods. In addition, we are required to adopt ASC 606 for the year ending December 31, 2019, which may have a material impact on the timing of our revenue recognition.</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sources of our collaboration revenue for the years ended December 31, 2017 and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2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revenue</w:t>
            </w:r>
          </w:p>
        </w:tc>
        <w:tc>
          <w:tcPr>
            <w:tcW w:w="3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fee</w:t>
            </w:r>
          </w:p>
        </w:tc>
        <w:tc>
          <w:tcPr>
            <w:tcW w:w="3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$18,800</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License revenue</w:t>
            </w:r>
          </w:p>
        </w:tc>
        <w:tc>
          <w:tcPr>
            <w:tcW w:w="3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31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58,341</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69,865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related party revenue</w:t>
            </w:r>
          </w:p>
        </w:tc>
        <w:tc>
          <w:tcPr>
            <w:tcW w:w="3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77,141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108,665</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200" w:right="460" w:firstLine="551"/>
        <w:spacing w:after="0" w:line="246"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drug product and clinical trial material, conducting preclinical testing and clinical trials and providing support for these operations.</w:t>
      </w:r>
    </w:p>
    <w:p>
      <w:pPr>
        <w:spacing w:after="0" w:line="197" w:lineRule="exact"/>
        <w:rPr>
          <w:sz w:val="20"/>
          <w:szCs w:val="20"/>
          <w:color w:val="auto"/>
        </w:rPr>
      </w:pPr>
    </w:p>
    <w:p>
      <w:pPr>
        <w:ind w:left="200" w:right="400" w:firstLine="551"/>
        <w:spacing w:after="0" w:line="239"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Our clinical development efforts are focused on multiple programs. Our lead product candidate, NGM282, is the subject of ongoing and planned Phase 2 clinical trials for NASH. We anticipate the majority of our financial resources outside of the Merck collaboration will be dedicated to the development of NGM282 for the foreseeable future, however, we may also devote financial resources to the development of our GDF15 receptor agonist program, or to our other programs in the event Merck does not elect to license these programs upon completion of a proof-of-concept study, or in the event Merck elects to terminate its license to a program. Additionally, if our research and development expenses were to exceed the funding caps provided in our collaboration agreement with Merck, we could be required to devote our financial resources toward the development of those programs subject to the collaboration.</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NGM282 clinical trials we have initiated or plan to initiate include: (1) a 24-week expansion cohort of NGM282 (cohort 4) under our ongoing Phase 2 protocol as a double-blind, placebo-controlled study of once-daily 1 mg NGM282 for the treatment of patients with fibrosis stage F2 or F3 NASH, (2) a Phase 2b clinical trial of NGM282 in a double-blind, placebo-controlled format testing 0.3 mg, 1 mg and 3 mg daily doses of NGM282 for 24 weeks for the treatment of patients with fibrosis stage F2 or F3 NASH and (3) a Phase 2b clinical trial of NGM282 for the treatment of NASH patients with early cirrhosis (F4 stage fibrosis). Significant portions of our research and development resources are focused on these clinical trials and other work needed to prepare NGM282 for regulatory approval for the treatment of NASH, including preparation for Phase 3 testing of NGM282 in NASH.</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Our NGM313 product candidate has completed single ascending dose and multiple ascending dose Phase 1 testing in overweight or obese but otherwise healthy adults, as well as a Phase 1b study in obese insulin resistant subjects with nonalcoholic fatty liver disease, or NAFLD. Merck exercised its option to license the NGM313 program, and all future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203"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We are also conducting Phase 1 clinical trials for NGM120 and NGM217, each of which is subject to reimbursement under our Merck collaboration up to the funding caps provided in the agreement. NGM120 is currently in a Phase 1 clinical trial assessing safety, tolerability and pharmacokinetics. In 2019 we are planning to conduct a clinical study with NGM120 in cancer patients to explore proof of concept as an agent to treat CACS and, possibly, cancer. Merck has the option to license NGM120 following completion of a proof-of-concept study in humans.</w:t>
      </w:r>
    </w:p>
    <w:p>
      <w:pPr>
        <w:spacing w:after="0" w:line="203"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We are also conducting a Phase 1 clinical trial with NGM217 to assess safety and tolerability and to inform dose-range finding for future studies. Thereafter, we plan to commence a Phase 1b/2a proof-of-concept study in diabetic patients to assess the ability of the agent to increase insulin production by the pancreas. Merck has the option to license NGM217 following completion of a proof-of-concept study in humans.</w:t>
      </w:r>
    </w:p>
    <w:p>
      <w:pPr>
        <w:spacing w:after="0" w:line="202"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NGM621 is currently in IND-enabling studies to enable initiation of a Phase 1 clinical trial in the second half of 2019. We expect the Phase 1 clinical trial will assess the safety and tolerability of up to two intravitreal injections of NGM621 in patients with the dry form of age-related macular degeneration. Merck has the option to license NGM621 following completion of a proof-of-concept study in humans.</w:t>
      </w:r>
    </w:p>
    <w:p>
      <w:pPr>
        <w:spacing w:after="0" w:line="203"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NGM386 and NGM395 were both licensed to Merck at the inception of our collaboration with Merck, and substantially all of the related research and development expenses were borne directly by Merck under our collaboration agreement; however, on March 1, 2019, Merck notified us of its intent to terminate its license, effective May 31, 2019. Upon termination of the license, we will regain full rights to NGM386 and NGM395. We may incur further research and development expenses following our assessment of the suitability of this program for further development.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firstLine="551"/>
        <w:spacing w:after="0" w:line="246" w:lineRule="auto"/>
        <w:rPr>
          <w:sz w:val="20"/>
          <w:szCs w:val="20"/>
          <w:color w:val="auto"/>
        </w:rPr>
      </w:pPr>
      <w:r>
        <w:rPr>
          <w:rFonts w:ascii="Arial" w:cs="Arial" w:eastAsia="Arial" w:hAnsi="Arial"/>
          <w:sz w:val="18"/>
          <w:szCs w:val="18"/>
          <w:color w:val="auto"/>
        </w:rPr>
        <w:t>Our research and development expenses related to the development of NGM282, NGM313, NGM120, NGM217 and NGM621 consist primarily of:</w:t>
      </w:r>
    </w:p>
    <w:p>
      <w:pPr>
        <w:spacing w:after="0" w:line="102" w:lineRule="exact"/>
        <w:rPr>
          <w:sz w:val="20"/>
          <w:szCs w:val="20"/>
          <w:color w:val="auto"/>
        </w:rPr>
      </w:pPr>
    </w:p>
    <w:p>
      <w:pPr>
        <w:ind w:left="960" w:hanging="21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117" w:lineRule="exact"/>
        <w:rPr>
          <w:rFonts w:ascii="Arial" w:cs="Arial" w:eastAsia="Arial" w:hAnsi="Arial"/>
          <w:sz w:val="18"/>
          <w:szCs w:val="18"/>
          <w:color w:val="auto"/>
        </w:rPr>
      </w:pPr>
    </w:p>
    <w:p>
      <w:pPr>
        <w:ind w:left="960" w:right="640" w:hanging="216"/>
        <w:spacing w:after="0" w:line="246"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117" w:lineRule="exact"/>
        <w:rPr>
          <w:rFonts w:ascii="Arial" w:cs="Arial" w:eastAsia="Arial" w:hAnsi="Arial"/>
          <w:sz w:val="18"/>
          <w:szCs w:val="18"/>
          <w:color w:val="auto"/>
        </w:rPr>
      </w:pPr>
    </w:p>
    <w:p>
      <w:pPr>
        <w:ind w:left="960" w:right="240" w:hanging="216"/>
        <w:spacing w:after="0" w:line="246"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The process of supplying materials for, and conducting,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is a comparison of research and development expenses for the years ended December 31, 2017 and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2017</w:t>
            </w:r>
          </w:p>
        </w:tc>
        <w:tc>
          <w:tcPr>
            <w:tcW w:w="1040" w:type="dxa"/>
            <w:vAlign w:val="bottom"/>
            <w:tcBorders>
              <w:top w:val="single" w:sz="8" w:color="auto"/>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tcPr>
          <w:p>
            <w:pPr>
              <w:ind w:left="340"/>
              <w:spacing w:after="0" w:line="202" w:lineRule="exact"/>
              <w:rPr>
                <w:sz w:val="20"/>
                <w:szCs w:val="20"/>
                <w:color w:val="auto"/>
              </w:rPr>
            </w:pPr>
            <w:r>
              <w:rPr>
                <w:rFonts w:ascii="Arial" w:cs="Arial" w:eastAsia="Arial" w:hAnsi="Arial"/>
                <w:sz w:val="18"/>
                <w:szCs w:val="18"/>
                <w:color w:val="auto"/>
              </w:rPr>
              <w:t>NGM282 (FGF19 analog)</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$15,126</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$15,359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NGM313 (FGFR1c/KLB agonist)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3,948</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3,544</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tcPr>
          <w:p>
            <w:pPr>
              <w:ind w:left="340"/>
              <w:spacing w:after="0" w:line="202" w:lineRule="exact"/>
              <w:rPr>
                <w:sz w:val="20"/>
                <w:szCs w:val="20"/>
                <w:color w:val="auto"/>
              </w:rPr>
            </w:pPr>
            <w:r>
              <w:rPr>
                <w:rFonts w:ascii="Arial" w:cs="Arial" w:eastAsia="Arial" w:hAnsi="Arial"/>
                <w:sz w:val="18"/>
                <w:szCs w:val="18"/>
                <w:color w:val="auto"/>
              </w:rPr>
              <w:t>NGM386 and NGM395 (GDF15 analogs)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787</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NGM120 (GFRAL antagonist)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3,442</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tcPr>
          <w:p>
            <w:pPr>
              <w:ind w:left="340"/>
              <w:spacing w:after="0" w:line="202" w:lineRule="exact"/>
              <w:rPr>
                <w:sz w:val="20"/>
                <w:szCs w:val="20"/>
                <w:color w:val="auto"/>
              </w:rPr>
            </w:pPr>
            <w:r>
              <w:rPr>
                <w:rFonts w:ascii="Arial" w:cs="Arial" w:eastAsia="Arial" w:hAnsi="Arial"/>
                <w:sz w:val="18"/>
                <w:szCs w:val="18"/>
                <w:color w:val="auto"/>
              </w:rPr>
              <w:t>NGM217 (undisclosed)</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3,764</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2,808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NGM621 (undisclosed)</w:t>
            </w:r>
          </w:p>
        </w:tc>
        <w:tc>
          <w:tcPr>
            <w:tcW w:w="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6,791</w:t>
            </w:r>
          </w:p>
        </w:tc>
        <w:tc>
          <w:tcPr>
            <w:tcW w:w="60" w:type="dxa"/>
            <w:vAlign w:val="bottom"/>
            <w:shd w:val="clear" w:color="auto" w:fill="CCEEFF"/>
          </w:tcPr>
          <w:p>
            <w:pPr>
              <w:spacing w:after="0"/>
              <w:rPr>
                <w:sz w:val="17"/>
                <w:szCs w:val="17"/>
                <w:color w:val="auto"/>
              </w:rPr>
            </w:pPr>
          </w:p>
        </w:tc>
      </w:tr>
      <w:tr>
        <w:trPr>
          <w:trHeight w:val="210"/>
        </w:trPr>
        <w:tc>
          <w:tcPr>
            <w:tcW w:w="9260" w:type="dxa"/>
            <w:vAlign w:val="bottom"/>
            <w:gridSpan w:val="2"/>
          </w:tcPr>
          <w:p>
            <w:pPr>
              <w:spacing w:after="0"/>
              <w:rPr>
                <w:sz w:val="20"/>
                <w:szCs w:val="20"/>
                <w:color w:val="auto"/>
              </w:rPr>
            </w:pPr>
            <w:r>
              <w:rPr>
                <w:rFonts w:ascii="Arial" w:cs="Arial" w:eastAsia="Arial" w:hAnsi="Arial"/>
                <w:sz w:val="18"/>
                <w:szCs w:val="18"/>
                <w:color w:val="auto"/>
              </w:rPr>
              <w:t>Total external research and development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27,432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33,230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and unallocated research and development expenses(1)</w:t>
            </w:r>
          </w:p>
        </w:tc>
        <w:tc>
          <w:tcPr>
            <w:tcW w:w="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52,304</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62,484</w:t>
            </w:r>
          </w:p>
        </w:tc>
        <w:tc>
          <w:tcPr>
            <w:tcW w:w="60" w:type="dxa"/>
            <w:vAlign w:val="bottom"/>
            <w:shd w:val="clear" w:color="auto" w:fill="CCEEFF"/>
          </w:tcPr>
          <w:p>
            <w:pPr>
              <w:spacing w:after="0"/>
              <w:rPr>
                <w:sz w:val="17"/>
                <w:szCs w:val="17"/>
                <w:color w:val="auto"/>
              </w:rPr>
            </w:pPr>
          </w:p>
        </w:tc>
      </w:tr>
      <w:tr>
        <w:trPr>
          <w:trHeight w:val="210"/>
        </w:trPr>
        <w:tc>
          <w:tcPr>
            <w:tcW w:w="926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79,736</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95,714</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740" w:right="320" w:hanging="536"/>
        <w:spacing w:after="0" w:line="246"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Internal and unallocated research and development expenses consist mainly of employee compensation, research supplies and consulting fees, which we deploy across multiple research and development programs.</w:t>
      </w:r>
    </w:p>
    <w:p>
      <w:pPr>
        <w:spacing w:after="0" w:line="197" w:lineRule="exact"/>
        <w:rPr>
          <w:sz w:val="20"/>
          <w:szCs w:val="20"/>
          <w:color w:val="auto"/>
        </w:rPr>
      </w:pPr>
    </w:p>
    <w:p>
      <w:pPr>
        <w:jc w:val="both"/>
        <w:ind w:left="200" w:right="140" w:firstLine="551"/>
        <w:spacing w:after="0"/>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0"/>
        <w:spacing w:after="0" w:line="246" w:lineRule="auto"/>
        <w:rPr>
          <w:sz w:val="20"/>
          <w:szCs w:val="20"/>
          <w:color w:val="auto"/>
        </w:rPr>
      </w:pPr>
      <w:r>
        <w:rPr>
          <w:rFonts w:ascii="Arial" w:cs="Arial" w:eastAsia="Arial" w:hAnsi="Arial"/>
          <w:sz w:val="18"/>
          <w:szCs w:val="18"/>
          <w:color w:val="auto"/>
        </w:rPr>
        <w:t>cash inflows from these product candidates may commence. This is due to the numerous risks and uncertainties associated with developing drugs, including the uncertainty of:</w:t>
      </w:r>
    </w:p>
    <w:p>
      <w:pPr>
        <w:spacing w:after="0" w:line="102" w:lineRule="exact"/>
        <w:rPr>
          <w:sz w:val="20"/>
          <w:szCs w:val="20"/>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Merck will elect to license or terminate its license to any of our programs and the timing of such election or termination;</w:t>
      </w:r>
    </w:p>
    <w:p>
      <w:pPr>
        <w:spacing w:after="0" w:line="117"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A change in the outcome of any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left="200" w:right="340" w:firstLine="551"/>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potential commercialization of our product candidates.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40" w:type="dxa"/>
            <w:vAlign w:val="bottom"/>
            <w:tcBorders>
              <w:top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Borders>
              <w:top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revenue</w:t>
            </w: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$ 77,141</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108,665</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$ 31,524</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79,736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95,714</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15,978</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2,435</w:t>
            </w:r>
          </w:p>
        </w:tc>
        <w:tc>
          <w:tcPr>
            <w:tcW w:w="280" w:type="dxa"/>
            <w:vAlign w:val="bottom"/>
          </w:tcPr>
          <w:p>
            <w:pPr>
              <w:spacing w:after="0"/>
              <w:rPr>
                <w:sz w:val="18"/>
                <w:szCs w:val="18"/>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operating expenses</w:t>
            </w:r>
          </w:p>
        </w:tc>
        <w:tc>
          <w:tcPr>
            <w:tcW w:w="17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112,979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18,413</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760" w:type="dxa"/>
            <w:vAlign w:val="bottom"/>
            <w:gridSpan w:val="3"/>
          </w:tcPr>
          <w:p>
            <w:pPr>
              <w:jc w:val="right"/>
              <w:ind w:right="220"/>
              <w:spacing w:after="0"/>
              <w:rPr>
                <w:sz w:val="20"/>
                <w:szCs w:val="20"/>
                <w:color w:val="auto"/>
              </w:rPr>
            </w:pPr>
            <w:r>
              <w:rPr>
                <w:rFonts w:ascii="Arial" w:cs="Arial" w:eastAsia="Arial" w:hAnsi="Arial"/>
                <w:sz w:val="18"/>
                <w:szCs w:val="18"/>
                <w:color w:val="auto"/>
              </w:rPr>
              <w:t>(17,425)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(4,314)</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(13,111)</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2,358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3,622</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1,264</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7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2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351</w:t>
            </w:r>
          </w:p>
        </w:tc>
        <w:tc>
          <w:tcPr>
            <w:tcW w:w="280" w:type="dxa"/>
            <w:vAlign w:val="bottom"/>
          </w:tcPr>
          <w:p>
            <w:pPr>
              <w:spacing w:after="0"/>
              <w:rPr>
                <w:sz w:val="17"/>
                <w:szCs w:val="17"/>
                <w:color w:val="auto"/>
              </w:rPr>
            </w:pPr>
          </w:p>
        </w:tc>
        <w:tc>
          <w:tcPr>
            <w:tcW w:w="13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17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(15,219)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(493)</w:t>
            </w:r>
          </w:p>
        </w:tc>
        <w:tc>
          <w:tcPr>
            <w:tcW w:w="12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(14,726)</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17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(1,060)</w:t>
            </w:r>
          </w:p>
        </w:tc>
        <w:tc>
          <w:tcPr>
            <w:tcW w:w="1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7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(14,159)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(493)</w:t>
            </w:r>
          </w:p>
        </w:tc>
        <w:tc>
          <w:tcPr>
            <w:tcW w:w="12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(13,666)</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right="180" w:firstLine="551"/>
        <w:spacing w:after="0" w:line="244" w:lineRule="auto"/>
        <w:rPr>
          <w:sz w:val="20"/>
          <w:szCs w:val="20"/>
          <w:color w:val="auto"/>
        </w:rPr>
      </w:pPr>
      <w:r>
        <w:rPr>
          <w:rFonts w:ascii="Arial" w:cs="Arial" w:eastAsia="Arial" w:hAnsi="Arial"/>
          <w:sz w:val="18"/>
          <w:szCs w:val="18"/>
          <w:b w:val="1"/>
          <w:bCs w:val="1"/>
          <w:i w:val="1"/>
          <w:iCs w:val="1"/>
          <w:color w:val="auto"/>
        </w:rPr>
        <w:t xml:space="preserve">Total Related Party Revenue. </w:t>
      </w:r>
      <w:r>
        <w:rPr>
          <w:rFonts w:ascii="Arial" w:cs="Arial" w:eastAsia="Arial" w:hAnsi="Arial"/>
          <w:sz w:val="18"/>
          <w:szCs w:val="18"/>
          <w:color w:val="auto"/>
        </w:rPr>
        <w:t>Total related party revenue was $ 77.1 million and $108.7 million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and 2018, respectively, of which $18.8 million in both periods was related to the partial recognition of the upfront payment from Merck in 2015. The increase of $31.5 million in total revenue was due to an additional $20.0 million of revenue in 2018 recognized from the $20.0 million received from Merck to license NGM313 and related compounds and an increase in both reimbursable personnel related expenses and higher overall external research and development expenses that we incurred in 2018.</w:t>
      </w:r>
    </w:p>
    <w:p>
      <w:pPr>
        <w:spacing w:after="0" w:line="177" w:lineRule="exact"/>
        <w:rPr>
          <w:sz w:val="20"/>
          <w:szCs w:val="20"/>
          <w:color w:val="auto"/>
        </w:rPr>
      </w:pPr>
    </w:p>
    <w:p>
      <w:pPr>
        <w:ind w:left="200" w:right="320" w:firstLine="551"/>
        <w:spacing w:after="0" w:line="242"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$79.7 million and $95.7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2017 and 2018, respectively. The increase in research and development expenses of $16.0 million was primarily attributable to an increase of $10.2 million in unallocated research and development expenses, primarily related to hiring- and personnel-related expenses and early research testing, and $6.6 million in the NGM621 program external expenses primarily related to manufacturing costs of clinical materials. These increases were offset by a decrease of $1.0 million in the NGM217 program external expenses for manufacturing costs of clinical materials that occurred in 2017.</w:t>
      </w:r>
    </w:p>
    <w:p>
      <w:pPr>
        <w:spacing w:after="0" w:line="179" w:lineRule="exact"/>
        <w:rPr>
          <w:sz w:val="20"/>
          <w:szCs w:val="20"/>
          <w:color w:val="auto"/>
        </w:rPr>
      </w:pPr>
    </w:p>
    <w:p>
      <w:pPr>
        <w:ind w:left="200" w:right="80" w:firstLine="551"/>
        <w:spacing w:after="0" w:line="242"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$14.8 million and $17.3 million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2017 and 2018, respectively. The increase in general and administrative expenses of $2.4 million was primarily due to an increase of $2.8 million in personnel-related expenses, $0.7 million for increased rent expense and increases in professional fees and contract services expenses, including $ 0.4 million for legal expenses and $0.4 million in audit and tax expenses. These increases were offset by an increase of $1.9 million in allocated overhead expenses from general and administrative expenses to research and development expenses.</w:t>
      </w:r>
    </w:p>
    <w:p>
      <w:pPr>
        <w:spacing w:after="0" w:line="179" w:lineRule="exact"/>
        <w:rPr>
          <w:sz w:val="20"/>
          <w:szCs w:val="20"/>
          <w:color w:val="auto"/>
        </w:rPr>
      </w:pPr>
    </w:p>
    <w:p>
      <w:pPr>
        <w:ind w:left="200" w:right="960" w:firstLine="551"/>
        <w:spacing w:after="0" w:line="271"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$2.4 million and $3.6 million for the years ended December 31, 2017 and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increase in interest income of $1.2 million was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primarily attributable to higher yields on our available-for-sale marketable securities in 2018 compared to 2017.</w:t>
      </w:r>
    </w:p>
    <w:p>
      <w:pPr>
        <w:spacing w:after="0" w:line="190" w:lineRule="exact"/>
        <w:rPr>
          <w:sz w:val="20"/>
          <w:szCs w:val="20"/>
          <w:color w:val="auto"/>
        </w:rPr>
      </w:pPr>
    </w:p>
    <w:p>
      <w:pPr>
        <w:ind w:left="200" w:right="80" w:firstLine="551"/>
        <w:spacing w:after="0" w:line="253" w:lineRule="auto"/>
        <w:rPr>
          <w:sz w:val="20"/>
          <w:szCs w:val="20"/>
          <w:color w:val="auto"/>
        </w:rPr>
      </w:pPr>
      <w:r>
        <w:rPr>
          <w:rFonts w:ascii="Arial" w:cs="Arial" w:eastAsia="Arial" w:hAnsi="Arial"/>
          <w:sz w:val="18"/>
          <w:szCs w:val="18"/>
          <w:b w:val="1"/>
          <w:bCs w:val="1"/>
          <w:i w:val="1"/>
          <w:iCs w:val="1"/>
          <w:color w:val="auto"/>
        </w:rPr>
        <w:t xml:space="preserve">Benefit from Income Taxes. </w:t>
      </w:r>
      <w:r>
        <w:rPr>
          <w:rFonts w:ascii="Arial" w:cs="Arial" w:eastAsia="Arial" w:hAnsi="Arial"/>
          <w:sz w:val="18"/>
          <w:szCs w:val="18"/>
          <w:color w:val="auto"/>
        </w:rPr>
        <w:t>Benefit from income taxes was $1.1 million and $0.0 million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and 2018, respectively. The benefit from income taxes in 2017 was due to a federal alternative minimum tax credit carryforward that became refundable as a result of the Tax Cuts and Jobs Act of 2017.</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incurred losses and negative cash flows from operating activities since our inception. As of December 31, 2018, our</w:t>
      </w:r>
    </w:p>
    <w:p>
      <w:pPr>
        <w:ind w:left="200"/>
        <w:spacing w:after="0" w:line="234" w:lineRule="auto"/>
        <w:rPr>
          <w:sz w:val="20"/>
          <w:szCs w:val="20"/>
          <w:color w:val="auto"/>
        </w:rPr>
      </w:pPr>
      <w:r>
        <w:rPr>
          <w:rFonts w:ascii="Arial" w:cs="Arial" w:eastAsia="Arial" w:hAnsi="Arial"/>
          <w:sz w:val="18"/>
          <w:szCs w:val="18"/>
          <w:color w:val="auto"/>
        </w:rPr>
        <w:t>operations have been financed primarily through the private placement of convertible preferred stock totaling $294.9 million, upfront</w:t>
      </w:r>
    </w:p>
    <w:p>
      <w:pPr>
        <w:ind w:left="200"/>
        <w:spacing w:after="0" w:line="235" w:lineRule="auto"/>
        <w:rPr>
          <w:sz w:val="20"/>
          <w:szCs w:val="20"/>
          <w:color w:val="auto"/>
        </w:rPr>
      </w:pPr>
      <w:r>
        <w:rPr>
          <w:rFonts w:ascii="Arial" w:cs="Arial" w:eastAsia="Arial" w:hAnsi="Arial"/>
          <w:sz w:val="18"/>
          <w:szCs w:val="18"/>
          <w:color w:val="auto"/>
        </w:rPr>
        <w:t>license fees paid by collaboration partners of $123.0 million and research and development funding provided by collaboration partners of</w:t>
      </w:r>
    </w:p>
    <w:p>
      <w:pPr>
        <w:ind w:left="200"/>
        <w:spacing w:after="0" w:line="235" w:lineRule="auto"/>
        <w:rPr>
          <w:sz w:val="20"/>
          <w:szCs w:val="20"/>
          <w:color w:val="auto"/>
        </w:rPr>
      </w:pPr>
      <w:r>
        <w:rPr>
          <w:rFonts w:ascii="Arial" w:cs="Arial" w:eastAsia="Arial" w:hAnsi="Arial"/>
          <w:sz w:val="18"/>
          <w:szCs w:val="18"/>
          <w:color w:val="auto"/>
        </w:rPr>
        <w:t>$239.2 million. As of December 31, 2018, we had cash and cash equivalents of $56.9 million, short-term marketable securities of</w:t>
      </w:r>
    </w:p>
    <w:p>
      <w:pPr>
        <w:ind w:left="200"/>
        <w:spacing w:after="0" w:line="235" w:lineRule="auto"/>
        <w:rPr>
          <w:sz w:val="20"/>
          <w:szCs w:val="20"/>
          <w:color w:val="auto"/>
        </w:rPr>
      </w:pPr>
      <w:r>
        <w:rPr>
          <w:rFonts w:ascii="Arial" w:cs="Arial" w:eastAsia="Arial" w:hAnsi="Arial"/>
          <w:sz w:val="18"/>
          <w:szCs w:val="18"/>
          <w:color w:val="auto"/>
        </w:rPr>
        <w:t>$149.7 million, working capital (excluding deferred revenue) of $192.1 million and an accumulated deficit of $147.2 million, compared to</w:t>
      </w:r>
    </w:p>
    <w:p>
      <w:pPr>
        <w:ind w:left="200"/>
        <w:spacing w:after="0" w:line="235" w:lineRule="auto"/>
        <w:rPr>
          <w:sz w:val="20"/>
          <w:szCs w:val="20"/>
          <w:color w:val="auto"/>
        </w:rPr>
      </w:pPr>
      <w:r>
        <w:rPr>
          <w:rFonts w:ascii="Arial" w:cs="Arial" w:eastAsia="Arial" w:hAnsi="Arial"/>
          <w:sz w:val="18"/>
          <w:szCs w:val="18"/>
          <w:color w:val="auto"/>
        </w:rPr>
        <w:t>cash and cash equivalents of $25.6 million, short-term marketable securities of $148.1 million, working capital (excluding deferred</w:t>
      </w:r>
    </w:p>
    <w:p>
      <w:pPr>
        <w:ind w:left="200"/>
        <w:spacing w:after="0" w:line="235" w:lineRule="auto"/>
        <w:rPr>
          <w:sz w:val="20"/>
          <w:szCs w:val="20"/>
          <w:color w:val="auto"/>
        </w:rPr>
      </w:pPr>
      <w:r>
        <w:rPr>
          <w:rFonts w:ascii="Arial" w:cs="Arial" w:eastAsia="Arial" w:hAnsi="Arial"/>
          <w:sz w:val="18"/>
          <w:szCs w:val="18"/>
          <w:color w:val="auto"/>
        </w:rPr>
        <w:t>revenue) of $160.0 million and an accumulated deficit of $146.7 million at December 31, 2017. The change from 2017 to 2018 is primarily</w:t>
      </w:r>
    </w:p>
    <w:p>
      <w:pPr>
        <w:ind w:left="200"/>
        <w:spacing w:after="0"/>
        <w:rPr>
          <w:sz w:val="20"/>
          <w:szCs w:val="20"/>
          <w:color w:val="auto"/>
        </w:rPr>
      </w:pPr>
      <w:r>
        <w:rPr>
          <w:rFonts w:ascii="Arial" w:cs="Arial" w:eastAsia="Arial" w:hAnsi="Arial"/>
          <w:sz w:val="18"/>
          <w:szCs w:val="18"/>
          <w:color w:val="auto"/>
        </w:rPr>
        <w:t>attributed to the receipt of $20.0 million from Merck in December 2018 for the license of NGM313.</w:t>
      </w:r>
    </w:p>
    <w:p>
      <w:pPr>
        <w:spacing w:after="0" w:line="212"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expand our corporate infrastructure, including the costs associated with becoming a public company, and conduct pre-commercialization activities. We will require substantial additional capital to achieve our development and commercialization goals for NGM282, for any Merck licensed programs that we opt to co-develop and for any programs that Merck does not opt to develop and that we choose to develop and for any programs for which Merck elects to terminate its license, including NGM386 and NGM395, for which Merck has given us notice of its intent to terminate the license and that we are considering whether to advance pending study results. If our Merck collaboration were to be terminated, we could require significant additional capital in order to proceed with development and commercialization of our product candidates, or we may require additional partnering in order to help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assure you that financing will be available in the amounts we need or on terms acceptable to us,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215"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shows a summary of our cash flows for the years ended December 31, 2017 and 2018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20" w:type="dxa"/>
            <w:vAlign w:val="bottom"/>
            <w:tcBorders>
              <w:top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6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w:t>
            </w:r>
          </w:p>
        </w:tc>
        <w:tc>
          <w:tcPr>
            <w:tcW w:w="24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340"/>
              <w:spacing w:after="0" w:line="202" w:lineRule="exact"/>
              <w:rPr>
                <w:sz w:val="20"/>
                <w:szCs w:val="20"/>
                <w:color w:val="auto"/>
              </w:rPr>
            </w:pPr>
            <w:r>
              <w:rPr>
                <w:rFonts w:ascii="Arial" w:cs="Arial" w:eastAsia="Arial" w:hAnsi="Arial"/>
                <w:sz w:val="18"/>
                <w:szCs w:val="18"/>
                <w:color w:val="auto"/>
              </w:rPr>
              <w:t>Operating activities</w:t>
            </w:r>
          </w:p>
        </w:tc>
        <w:tc>
          <w:tcPr>
            <w:tcW w:w="33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$(17,413)</w:t>
            </w: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 (7,597)</w:t>
            </w: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Investing activities</w:t>
            </w:r>
          </w:p>
        </w:tc>
        <w:tc>
          <w:tcPr>
            <w:tcW w:w="33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(2,796)</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38,729</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40"/>
              <w:spacing w:after="0" w:line="202" w:lineRule="exact"/>
              <w:rPr>
                <w:sz w:val="20"/>
                <w:szCs w:val="20"/>
                <w:color w:val="auto"/>
              </w:rPr>
            </w:pPr>
            <w:r>
              <w:rPr>
                <w:rFonts w:ascii="Arial" w:cs="Arial" w:eastAsia="Arial" w:hAnsi="Arial"/>
                <w:sz w:val="18"/>
                <w:szCs w:val="18"/>
                <w:color w:val="auto"/>
              </w:rPr>
              <w:t>Financing activities</w:t>
            </w:r>
          </w:p>
        </w:tc>
        <w:tc>
          <w:tcPr>
            <w:tcW w:w="240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33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(19,870)</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31,330</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126" w:lineRule="exact"/>
        <w:rPr>
          <w:sz w:val="20"/>
          <w:szCs w:val="20"/>
          <w:color w:val="auto"/>
        </w:rPr>
      </w:pPr>
    </w:p>
    <w:p>
      <w:pPr>
        <w:ind w:left="200" w:right="500" w:firstLine="551"/>
        <w:spacing w:after="0" w:line="234" w:lineRule="auto"/>
        <w:rPr>
          <w:sz w:val="20"/>
          <w:szCs w:val="20"/>
          <w:color w:val="auto"/>
        </w:rPr>
      </w:pPr>
      <w:r>
        <w:rPr>
          <w:rFonts w:ascii="Arial" w:cs="Arial" w:eastAsia="Arial" w:hAnsi="Arial"/>
          <w:sz w:val="18"/>
          <w:szCs w:val="18"/>
          <w:color w:val="auto"/>
        </w:rPr>
        <w:t>During the year ended December 31, 2018, cash used in operating activities was $7.6 million, which consisted of a net loss of $0.5 million, adjusted for non-cash charges of $16.5 million and cash used through changes in operating assets and liabilities of</w:t>
      </w:r>
    </w:p>
    <w:p>
      <w:pPr>
        <w:spacing w:after="0" w:line="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$23.6 million. The non-cash charges consisted primarily of stock-based compensation expense of $10.0 million and depreciation expense of $7.2 million. The change in operating assets and liabilities was primarily due to an increase in receivable from related party collaboration of $3.7 million under our agreement with Merck, an increase in prepaid expenses and other current assets of $4.4 million, offset by increases in accounts payable and accrued expenses and other current liabilities of $3.5 million and $4.1 million, respectively, and decreases in deferred rent and deferred revenue of $2.0 million and $21.1 million, respectively. The decrease in deferred revenue is primarily due to the recognition of upfront fees from Merck and the timing of advance payments from Merck related to the reimbursement of costs associated with research and development activities.</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2017, cash used in operating activities was $17.4 million, which consisted of a net loss of</w:t>
      </w:r>
    </w:p>
    <w:p>
      <w:pPr>
        <w:ind w:left="200"/>
        <w:spacing w:after="0" w:line="234" w:lineRule="auto"/>
        <w:rPr>
          <w:sz w:val="20"/>
          <w:szCs w:val="20"/>
          <w:color w:val="auto"/>
        </w:rPr>
      </w:pPr>
      <w:r>
        <w:rPr>
          <w:rFonts w:ascii="Arial" w:cs="Arial" w:eastAsia="Arial" w:hAnsi="Arial"/>
          <w:sz w:val="18"/>
          <w:szCs w:val="18"/>
          <w:color w:val="auto"/>
        </w:rPr>
        <w:t>$14.2 million, adjusted for non-cash charges of $14.5 million and cash used through changes in operating assets and liabilities of</w:t>
      </w:r>
    </w:p>
    <w:p>
      <w:pPr>
        <w:ind w:left="200"/>
        <w:spacing w:after="0" w:line="235" w:lineRule="auto"/>
        <w:rPr>
          <w:sz w:val="20"/>
          <w:szCs w:val="20"/>
          <w:color w:val="auto"/>
        </w:rPr>
      </w:pPr>
      <w:r>
        <w:rPr>
          <w:rFonts w:ascii="Arial" w:cs="Arial" w:eastAsia="Arial" w:hAnsi="Arial"/>
          <w:sz w:val="18"/>
          <w:szCs w:val="18"/>
          <w:color w:val="auto"/>
        </w:rPr>
        <w:t>$17.7 million. The non-cash charges consisted primarily of stock-based compensation expense of $7.7 million and depreciation expense</w:t>
      </w:r>
    </w:p>
    <w:p>
      <w:pPr>
        <w:ind w:left="200"/>
        <w:spacing w:after="0" w:line="235" w:lineRule="auto"/>
        <w:rPr>
          <w:sz w:val="20"/>
          <w:szCs w:val="20"/>
          <w:color w:val="auto"/>
        </w:rPr>
      </w:pPr>
      <w:r>
        <w:rPr>
          <w:rFonts w:ascii="Arial" w:cs="Arial" w:eastAsia="Arial" w:hAnsi="Arial"/>
          <w:sz w:val="18"/>
          <w:szCs w:val="18"/>
          <w:color w:val="auto"/>
        </w:rPr>
        <w:t>of $6.4 million. The change in operating assets and liabilities was primarily due to an increase in prepaid expenses and other assets of</w:t>
      </w:r>
    </w:p>
    <w:p>
      <w:pPr>
        <w:ind w:left="200"/>
        <w:spacing w:after="0" w:line="235" w:lineRule="auto"/>
        <w:rPr>
          <w:sz w:val="20"/>
          <w:szCs w:val="20"/>
          <w:color w:val="auto"/>
        </w:rPr>
      </w:pPr>
      <w:r>
        <w:rPr>
          <w:rFonts w:ascii="Arial" w:cs="Arial" w:eastAsia="Arial" w:hAnsi="Arial"/>
          <w:sz w:val="18"/>
          <w:szCs w:val="18"/>
          <w:color w:val="auto"/>
        </w:rPr>
        <w:t>$1.1 million primarily resulting from a federal tax receivable generated as a result of the Tax Cuts and Jobs Act of 2017 that was signed</w:t>
      </w:r>
    </w:p>
    <w:p>
      <w:pPr>
        <w:ind w:left="200"/>
        <w:spacing w:after="0" w:line="235" w:lineRule="auto"/>
        <w:rPr>
          <w:sz w:val="20"/>
          <w:szCs w:val="20"/>
          <w:color w:val="auto"/>
        </w:rPr>
      </w:pPr>
      <w:r>
        <w:rPr>
          <w:rFonts w:ascii="Arial" w:cs="Arial" w:eastAsia="Arial" w:hAnsi="Arial"/>
          <w:sz w:val="18"/>
          <w:szCs w:val="18"/>
          <w:color w:val="auto"/>
        </w:rPr>
        <w:t>into law in December 2017, a decrease in accounts payable of $4.2 million and a decrease in deferred revenue of $16.5 million due to the</w:t>
      </w:r>
    </w:p>
    <w:p>
      <w:pPr>
        <w:ind w:left="200"/>
        <w:spacing w:after="0" w:line="235" w:lineRule="auto"/>
        <w:rPr>
          <w:sz w:val="20"/>
          <w:szCs w:val="20"/>
          <w:color w:val="auto"/>
        </w:rPr>
      </w:pPr>
      <w:r>
        <w:rPr>
          <w:rFonts w:ascii="Arial" w:cs="Arial" w:eastAsia="Arial" w:hAnsi="Arial"/>
          <w:sz w:val="18"/>
          <w:szCs w:val="18"/>
          <w:color w:val="auto"/>
        </w:rPr>
        <w:t>recognition of revenue related to upfront fees from Merck and the timing of advance payments from Merck related to the reimbursement of</w:t>
      </w:r>
    </w:p>
    <w:p>
      <w:pPr>
        <w:ind w:left="200"/>
        <w:spacing w:after="0" w:line="235" w:lineRule="auto"/>
        <w:rPr>
          <w:sz w:val="20"/>
          <w:szCs w:val="20"/>
          <w:color w:val="auto"/>
        </w:rPr>
      </w:pPr>
      <w:r>
        <w:rPr>
          <w:rFonts w:ascii="Arial" w:cs="Arial" w:eastAsia="Arial" w:hAnsi="Arial"/>
          <w:sz w:val="18"/>
          <w:szCs w:val="18"/>
          <w:color w:val="auto"/>
        </w:rPr>
        <w:t>costs associated with research and development activities. This was partially offset by a decrease in receivable from related party</w:t>
      </w:r>
    </w:p>
    <w:p>
      <w:pPr>
        <w:ind w:left="200"/>
        <w:spacing w:after="0" w:line="235" w:lineRule="auto"/>
        <w:rPr>
          <w:sz w:val="20"/>
          <w:szCs w:val="20"/>
          <w:color w:val="auto"/>
        </w:rPr>
      </w:pPr>
      <w:r>
        <w:rPr>
          <w:rFonts w:ascii="Arial" w:cs="Arial" w:eastAsia="Arial" w:hAnsi="Arial"/>
          <w:sz w:val="18"/>
          <w:szCs w:val="18"/>
          <w:color w:val="auto"/>
        </w:rPr>
        <w:t>collaboration of $2.8 million due to payments received from Merck under the collaboration agreement and an increase in accrued</w:t>
      </w:r>
    </w:p>
    <w:p>
      <w:pPr>
        <w:ind w:left="200"/>
        <w:spacing w:after="0" w:line="235" w:lineRule="auto"/>
        <w:rPr>
          <w:sz w:val="20"/>
          <w:szCs w:val="20"/>
          <w:color w:val="auto"/>
        </w:rPr>
      </w:pPr>
      <w:r>
        <w:rPr>
          <w:rFonts w:ascii="Arial" w:cs="Arial" w:eastAsia="Arial" w:hAnsi="Arial"/>
          <w:sz w:val="18"/>
          <w:szCs w:val="18"/>
          <w:color w:val="auto"/>
        </w:rPr>
        <w:t>expenses and other liabilities of $2.6 million resulting primarily from the timing of payments related to our clinical trial expenses and other</w:t>
      </w:r>
    </w:p>
    <w:p>
      <w:pPr>
        <w:ind w:left="200"/>
        <w:spacing w:after="0"/>
        <w:rPr>
          <w:sz w:val="20"/>
          <w:szCs w:val="20"/>
          <w:color w:val="auto"/>
        </w:rPr>
      </w:pPr>
      <w:r>
        <w:rPr>
          <w:rFonts w:ascii="Arial" w:cs="Arial" w:eastAsia="Arial" w:hAnsi="Arial"/>
          <w:sz w:val="18"/>
          <w:szCs w:val="18"/>
          <w:color w:val="auto"/>
        </w:rPr>
        <w:t>research and development activities.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26" w:lineRule="exact"/>
        <w:rPr>
          <w:sz w:val="20"/>
          <w:szCs w:val="20"/>
          <w:color w:val="auto"/>
        </w:rPr>
      </w:pPr>
    </w:p>
    <w:p>
      <w:pPr>
        <w:ind w:left="200" w:right="980" w:firstLine="551"/>
        <w:spacing w:after="0"/>
        <w:rPr>
          <w:sz w:val="20"/>
          <w:szCs w:val="20"/>
          <w:color w:val="auto"/>
        </w:rPr>
      </w:pPr>
      <w:r>
        <w:rPr>
          <w:rFonts w:ascii="Arial" w:cs="Arial" w:eastAsia="Arial" w:hAnsi="Arial"/>
          <w:sz w:val="18"/>
          <w:szCs w:val="18"/>
          <w:color w:val="auto"/>
        </w:rPr>
        <w:t>During the year ended December 31, 2018, cash provided by investing activities was $38.7 million, which consisted of $178.2 million in proceeds from the maturities of marketable securities, partially offset by purchases of marketable securities of $133.6 million and purchases of property and equipment of $5.8 million.</w:t>
      </w:r>
    </w:p>
    <w:p>
      <w:pPr>
        <w:spacing w:after="0" w:line="203"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During the year ended December 31, 2017, cash used in investing activities was $2.8 million, which consisted of $217.3 million in purchases of marketable securities and purchases of property and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equipment of $6.4 million, partially offset by proceeds from the maturities of marketable securities of $220.9 million.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26"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During the year ended December 31, 2018, cash provided by financing activities was $0.2 million, which consisted proceeds from the issuance of common stock upon the exercise of previously granted stock options of $2.6 million less deferred initial public offering costs of $2.2 million and repurchases of common stock of $0.2 million.</w:t>
      </w:r>
    </w:p>
    <w:p>
      <w:pPr>
        <w:spacing w:after="0" w:line="203"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During the year ended December 31, 2017, cash provided by financing activities was $0.3 million, which consisted of proceeds from the issuance of common stock upon the exercise of previously granted stock options.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jc w:val="both"/>
        <w:ind w:left="200" w:right="280" w:firstLine="551"/>
        <w:spacing w:after="0"/>
        <w:rPr>
          <w:sz w:val="20"/>
          <w:szCs w:val="20"/>
          <w:color w:val="auto"/>
        </w:rPr>
      </w:pPr>
      <w:r>
        <w:rPr>
          <w:rFonts w:ascii="Arial" w:cs="Arial" w:eastAsia="Arial" w:hAnsi="Arial"/>
          <w:sz w:val="18"/>
          <w:szCs w:val="18"/>
          <w:color w:val="auto"/>
        </w:rPr>
        <w:t>Our principal obligations consist of the operating lease for our facilities and non-cancelable purchase commitments with contract manufacturers or service providers. The following table sets out, as of December 31, 2018, our contractual obligations due by period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center"/>
              <w:ind w:left="328"/>
              <w:spacing w:after="0"/>
              <w:rPr>
                <w:sz w:val="20"/>
                <w:szCs w:val="20"/>
                <w:color w:val="auto"/>
              </w:rPr>
            </w:pPr>
            <w:r>
              <w:rPr>
                <w:rFonts w:ascii="Arial" w:cs="Arial" w:eastAsia="Arial" w:hAnsi="Arial"/>
                <w:sz w:val="14"/>
                <w:szCs w:val="14"/>
                <w:b w:val="1"/>
                <w:bCs w:val="1"/>
                <w:color w:val="auto"/>
              </w:rPr>
              <w:t>Payments due by period</w:t>
            </w: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7"/>
              </w:rPr>
              <w:t>Less than</w:t>
            </w:r>
          </w:p>
        </w:tc>
        <w:tc>
          <w:tcPr>
            <w:tcW w:w="46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1 to 3</w:t>
            </w:r>
          </w:p>
        </w:tc>
        <w:tc>
          <w:tcPr>
            <w:tcW w:w="46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4 to 5</w:t>
            </w:r>
          </w:p>
        </w:tc>
        <w:tc>
          <w:tcPr>
            <w:tcW w:w="1160" w:type="dxa"/>
            <w:vAlign w:val="bottom"/>
            <w:gridSpan w:val="3"/>
          </w:tcPr>
          <w:p>
            <w:pPr>
              <w:ind w:left="460"/>
              <w:spacing w:after="0" w:line="143" w:lineRule="exact"/>
              <w:rPr>
                <w:sz w:val="20"/>
                <w:szCs w:val="20"/>
                <w:color w:val="auto"/>
              </w:rPr>
            </w:pPr>
            <w:r>
              <w:rPr>
                <w:rFonts w:ascii="Arial" w:cs="Arial" w:eastAsia="Arial" w:hAnsi="Arial"/>
                <w:sz w:val="14"/>
                <w:szCs w:val="14"/>
                <w:b w:val="1"/>
                <w:bCs w:val="1"/>
                <w:color w:val="auto"/>
              </w:rPr>
              <w:t>More than</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w w:val="98"/>
              </w:rPr>
              <w:t>1 year</w:t>
            </w:r>
          </w:p>
        </w:tc>
        <w:tc>
          <w:tcPr>
            <w:tcW w:w="4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5"/>
                <w:szCs w:val="15"/>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5 years</w:t>
            </w:r>
          </w:p>
        </w:tc>
        <w:tc>
          <w:tcPr>
            <w:tcW w:w="46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Contractual obligations:</w:t>
            </w:r>
          </w:p>
        </w:tc>
        <w:tc>
          <w:tcPr>
            <w:tcW w:w="1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Operating lease obligations(1)</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4,849</w:t>
            </w:r>
          </w:p>
        </w:tc>
        <w:tc>
          <w:tcPr>
            <w:tcW w:w="1120" w:type="dxa"/>
            <w:vAlign w:val="bottom"/>
            <w:gridSpan w:val="2"/>
          </w:tcPr>
          <w:p>
            <w:pPr>
              <w:jc w:val="center"/>
              <w:ind w:left="37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10,136</w:t>
            </w:r>
          </w:p>
        </w:tc>
        <w:tc>
          <w:tcPr>
            <w:tcW w:w="1120" w:type="dxa"/>
            <w:vAlign w:val="bottom"/>
            <w:gridSpan w:val="2"/>
          </w:tcPr>
          <w:p>
            <w:pPr>
              <w:jc w:val="center"/>
              <w:ind w:left="37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10,749</w:t>
            </w:r>
          </w:p>
        </w:tc>
        <w:tc>
          <w:tcPr>
            <w:tcW w:w="7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35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obligations</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4,849</w:t>
            </w:r>
          </w:p>
        </w:tc>
        <w:tc>
          <w:tcPr>
            <w:tcW w:w="1120" w:type="dxa"/>
            <w:vAlign w:val="bottom"/>
            <w:gridSpan w:val="2"/>
            <w:shd w:val="clear" w:color="auto" w:fill="CCEEFF"/>
          </w:tcPr>
          <w:p>
            <w:pPr>
              <w:jc w:val="center"/>
              <w:ind w:left="37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10,136</w:t>
            </w:r>
          </w:p>
        </w:tc>
        <w:tc>
          <w:tcPr>
            <w:tcW w:w="1120" w:type="dxa"/>
            <w:vAlign w:val="bottom"/>
            <w:gridSpan w:val="2"/>
            <w:shd w:val="clear" w:color="auto" w:fill="CCEEFF"/>
          </w:tcPr>
          <w:p>
            <w:pPr>
              <w:jc w:val="center"/>
              <w:ind w:left="37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10,749</w:t>
            </w:r>
          </w:p>
        </w:tc>
        <w:tc>
          <w:tcPr>
            <w:tcW w:w="72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35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740" w:right="100" w:hanging="536"/>
        <w:spacing w:after="0" w:line="246"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our corporate headquarters lease encompassing approximately 122,000 square feet of office and laboratory space that expires in December 2023.</w:t>
      </w:r>
    </w:p>
    <w:p>
      <w:pPr>
        <w:spacing w:after="0" w:line="197"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and with vendors for preclinical studies and other services and products for operating purposes that are cancelable at any time by us, generally upon 30 days’ prior written notice. These payments are not included in this table of contractual obligations.</w:t>
      </w:r>
    </w:p>
    <w:p>
      <w:pPr>
        <w:spacing w:after="0" w:line="203"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Our cash, cash equivalents and marketable securities as of December 31, 2018 consisted of readily available checking and money market funds, as well as available-for-sale securities. Our</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We do not believe that our cash, cash equivalents or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at one or more financial institutions that are in excess of federally insured limits.</w:t>
      </w:r>
    </w:p>
    <w:p>
      <w:pPr>
        <w:spacing w:after="0" w:line="207" w:lineRule="exact"/>
        <w:rPr>
          <w:sz w:val="20"/>
          <w:szCs w:val="20"/>
          <w:color w:val="auto"/>
        </w:rPr>
      </w:pPr>
    </w:p>
    <w:p>
      <w:pPr>
        <w:ind w:left="200" w:right="280" w:firstLine="551"/>
        <w:spacing w:after="0" w:line="237" w:lineRule="auto"/>
        <w:rPr>
          <w:sz w:val="20"/>
          <w:szCs w:val="20"/>
          <w:color w:val="auto"/>
        </w:rPr>
      </w:pPr>
      <w:r>
        <w:rPr>
          <w:rFonts w:ascii="Arial" w:cs="Arial" w:eastAsia="Arial" w:hAnsi="Arial"/>
          <w:sz w:val="18"/>
          <w:szCs w:val="18"/>
          <w:color w:val="auto"/>
        </w:rPr>
        <w:t>We are also exposed to market risk related to changes in foreign currency exchange rates, mainly relating to our Australian subsidiary. In addition, we contract with vendors that are located in Asia and Europe, and the payments under such contracts are denominated in foreign currencies. We are subject to fluctuations in foreign currency rates in connection with these agreements. We do not currently hedge our foreign currency exchange rate risk. As of December 31, 2017 and 2018, our liabilities denominated in foreign currencies were not material. A 10% increase or decrease in current exchange rates would not have a material effect on our financial results.</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left="200" w:right="160" w:firstLine="551"/>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08" w:lineRule="exact"/>
        <w:rPr>
          <w:sz w:val="20"/>
          <w:szCs w:val="20"/>
          <w:color w:val="auto"/>
        </w:rPr>
      </w:pPr>
    </w:p>
    <w:p>
      <w:pPr>
        <w:ind w:left="200" w:right="380" w:firstLine="551"/>
        <w:spacing w:after="0"/>
        <w:rPr>
          <w:sz w:val="20"/>
          <w:szCs w:val="20"/>
          <w:color w:val="auto"/>
        </w:rPr>
      </w:pPr>
      <w:r>
        <w:rPr>
          <w:rFonts w:ascii="Arial" w:cs="Arial" w:eastAsia="Arial" w:hAnsi="Arial"/>
          <w:sz w:val="18"/>
          <w:szCs w:val="18"/>
          <w:color w:val="auto"/>
        </w:rPr>
        <w:t>Our significant accounting policies are described in Note 1 to our consolidated financial statements appearing elsewhere in this prospectus. We believe that the following accounting policies are the most critical for fully understanding and evaluating our financial condition and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200" w:right="320" w:firstLine="551"/>
        <w:spacing w:after="0" w:line="239" w:lineRule="auto"/>
        <w:rPr>
          <w:sz w:val="20"/>
          <w:szCs w:val="20"/>
          <w:color w:val="auto"/>
        </w:rPr>
      </w:pPr>
      <w:r>
        <w:rPr>
          <w:rFonts w:ascii="Arial" w:cs="Arial" w:eastAsia="Arial" w:hAnsi="Arial"/>
          <w:sz w:val="18"/>
          <w:szCs w:val="18"/>
          <w:color w:val="auto"/>
        </w:rPr>
        <w:t>All of our revenue to date has been generated from our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any commercialized products.</w:t>
      </w:r>
    </w:p>
    <w:p>
      <w:pPr>
        <w:spacing w:after="0" w:line="202" w:lineRule="exact"/>
        <w:rPr>
          <w:sz w:val="20"/>
          <w:szCs w:val="20"/>
          <w:color w:val="auto"/>
        </w:rPr>
      </w:pPr>
    </w:p>
    <w:p>
      <w:pPr>
        <w:jc w:val="both"/>
        <w:ind w:left="200" w:right="100" w:firstLine="551"/>
        <w:spacing w:after="0" w:line="239" w:lineRule="auto"/>
        <w:rPr>
          <w:sz w:val="20"/>
          <w:szCs w:val="20"/>
          <w:color w:val="auto"/>
        </w:rPr>
      </w:pPr>
      <w:r>
        <w:rPr>
          <w:rFonts w:ascii="Arial" w:cs="Arial" w:eastAsia="Arial" w:hAnsi="Arial"/>
          <w:sz w:val="18"/>
          <w:szCs w:val="18"/>
          <w:color w:val="auto"/>
        </w:rPr>
        <w:t>Revenues from research activities made under collaboration arrangements are recognized when there is persuasive evidence that an arrangement exists, services have been rendered, the price is fixed or determinable and collectability is reasonably assured. Revenue generated from our collaboration arrangements is not subject to repayment. Our obligations under collaboration agreements may include the transfer of intellectual property rights in the form of licenses, obligations to</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provide research and development services and obligations to participate on certain development committees with the collaboration party. We make judgments that affect the period over which we recognize revenue. On a quarterly basis, we review our estimated period of performance for our collaboration and license revenue based on the progress under the arrangement and account for the impact of any changes in estimated periods of performance on a prospective basis. 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5"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we allocate revenue to each non-contingent element based on the relative selling price of each element. When applying the relative selling price method, we determine the selling price for each deliverable using vendor-specific objective evidence or third-party evidence. If neither exists, we use the best estimate of selling price for that deliverable. Revenue allocated is then recognized when the four basic revenue recognition criteria are met for each element.</w:t>
      </w:r>
    </w:p>
    <w:p>
      <w:pPr>
        <w:spacing w:after="0" w:line="203" w:lineRule="exact"/>
        <w:rPr>
          <w:sz w:val="20"/>
          <w:szCs w:val="20"/>
          <w:color w:val="auto"/>
        </w:rPr>
      </w:pPr>
    </w:p>
    <w:p>
      <w:pPr>
        <w:ind w:left="200" w:right="100" w:firstLine="551"/>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2" w:lineRule="exact"/>
        <w:rPr>
          <w:sz w:val="20"/>
          <w:szCs w:val="20"/>
          <w:color w:val="auto"/>
        </w:rPr>
      </w:pPr>
    </w:p>
    <w:p>
      <w:pPr>
        <w:ind w:left="200" w:firstLine="4"/>
        <w:spacing w:after="0" w:line="236" w:lineRule="auto"/>
        <w:tabs>
          <w:tab w:leader="none" w:pos="4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entity’s performance or (2) on the occurrence of a specific outcome resulting from the entity’s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we have remaining performance obligations, payments in respect of such milestones are deferred and recognized as revenue over the estimated remaining period of performance. If there were no remaining performance obligations, we would recognize the revenue in the period it is earned.</w:t>
      </w:r>
    </w:p>
    <w:p>
      <w:pPr>
        <w:spacing w:after="0" w:line="207"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Payments related to options to license our program candidates are considered substantive if, at the inception of the arrangement, we are at risk as to whether the collaboration partner will choose to exercise the option. Factors that we consider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we do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we would consider the item underlying the option to be a deliverable at the inception of the arrangement and a corresponding amount would be included in allocable arrangement consideration.</w:t>
      </w:r>
    </w:p>
    <w:p>
      <w:pPr>
        <w:spacing w:after="0" w:line="207" w:lineRule="exact"/>
        <w:rPr>
          <w:sz w:val="20"/>
          <w:szCs w:val="20"/>
          <w:color w:val="auto"/>
        </w:rPr>
      </w:pPr>
    </w:p>
    <w:p>
      <w:pPr>
        <w:ind w:left="200" w:right="780" w:firstLine="551"/>
        <w:spacing w:after="0" w:line="246" w:lineRule="auto"/>
        <w:rPr>
          <w:sz w:val="20"/>
          <w:szCs w:val="20"/>
          <w:color w:val="auto"/>
        </w:rPr>
      </w:pPr>
      <w:r>
        <w:rPr>
          <w:rFonts w:ascii="Arial" w:cs="Arial" w:eastAsia="Arial" w:hAnsi="Arial"/>
          <w:sz w:val="18"/>
          <w:szCs w:val="18"/>
          <w:color w:val="auto"/>
        </w:rPr>
        <w:t>Revenues related to research collaboration services and grants are recognized as research costs are incurred, and/or the underlying services are performed over the term as specified in the related agreements.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6"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are research and development expenses. This process involves:</w:t>
      </w:r>
    </w:p>
    <w:p>
      <w:pPr>
        <w:spacing w:after="0" w:line="102" w:lineRule="exact"/>
        <w:rPr>
          <w:sz w:val="20"/>
          <w:szCs w:val="20"/>
          <w:color w:val="auto"/>
        </w:rPr>
      </w:pPr>
    </w:p>
    <w:p>
      <w:pPr>
        <w:jc w:val="both"/>
        <w:ind w:left="960" w:right="400" w:hanging="216"/>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108"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117" w:lineRule="exact"/>
        <w:rPr>
          <w:sz w:val="20"/>
          <w:szCs w:val="20"/>
          <w:color w:val="auto"/>
        </w:r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paid to clinical research organizations in connection with nonclinical studies and clinical studies;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studies;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clinical study materials;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base our expense accruals related to clinical studies on our estimates of the services received and efforts expended pursuant to contracts with multiple research institutions and clinical research organizations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208" w:lineRule="exact"/>
        <w:rPr>
          <w:sz w:val="20"/>
          <w:szCs w:val="20"/>
          <w:color w:val="auto"/>
        </w:rPr>
      </w:pPr>
    </w:p>
    <w:p>
      <w:pPr>
        <w:jc w:val="both"/>
        <w:ind w:left="200" w:right="360" w:firstLine="551"/>
        <w:spacing w:after="0" w:line="261" w:lineRule="auto"/>
        <w:rPr>
          <w:sz w:val="20"/>
          <w:szCs w:val="20"/>
          <w:color w:val="auto"/>
        </w:rPr>
      </w:pPr>
      <w:r>
        <w:rPr>
          <w:rFonts w:ascii="Arial" w:cs="Arial" w:eastAsia="Arial" w:hAnsi="Arial"/>
          <w:sz w:val="17"/>
          <w:szCs w:val="17"/>
          <w:color w:val="auto"/>
        </w:rPr>
        <w:t>To date, we have not experienced significant changes in our estimates of accrued research and development expenses after a reporting period.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Stock-based compensation expense represents the grant date fair value of employee stock option grants recognized over the requisite service period of the awards (usually the vesting period) on a straight-line basis, net of estimated forfeitures.</w:t>
      </w:r>
    </w:p>
    <w:p>
      <w:pPr>
        <w:spacing w:after="0" w:line="197" w:lineRule="exact"/>
        <w:rPr>
          <w:sz w:val="20"/>
          <w:szCs w:val="20"/>
          <w:color w:val="auto"/>
        </w:rPr>
      </w:pPr>
    </w:p>
    <w:p>
      <w:pPr>
        <w:ind w:left="200" w:right="320" w:firstLine="551"/>
        <w:spacing w:after="0"/>
        <w:rPr>
          <w:sz w:val="20"/>
          <w:szCs w:val="20"/>
          <w:color w:val="auto"/>
        </w:rPr>
      </w:pPr>
      <w:r>
        <w:rPr>
          <w:rFonts w:ascii="Arial" w:cs="Arial" w:eastAsia="Arial" w:hAnsi="Arial"/>
          <w:sz w:val="18"/>
          <w:szCs w:val="18"/>
          <w:color w:val="auto"/>
        </w:rPr>
        <w:t>We account for stock options granted to non-employees using the fair value approach. These options are subject to periodic revaluation to reflect the current fair value at each reporting period until the non-employee completes the performance obligation or the date on which a performance commitment is reached.</w:t>
      </w:r>
    </w:p>
    <w:p>
      <w:pPr>
        <w:spacing w:after="0" w:line="203"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including stock price volatility, the expected life of stock options, risk free interest rate and the fair value of the underlying common stock on the date of grant. Our key assumptions are:</w:t>
      </w:r>
    </w:p>
    <w:p>
      <w:pPr>
        <w:spacing w:after="0" w:line="80" w:lineRule="exact"/>
        <w:rPr>
          <w:sz w:val="20"/>
          <w:szCs w:val="20"/>
          <w:color w:val="auto"/>
        </w:rPr>
      </w:pPr>
    </w:p>
    <w:p>
      <w:pPr>
        <w:ind w:left="960" w:hanging="216"/>
        <w:spacing w:after="0" w:line="271"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industry over periods commensurate with our expected term assumption.</w:t>
      </w:r>
    </w:p>
    <w:p>
      <w:pPr>
        <w:spacing w:after="0" w:line="59" w:lineRule="exact"/>
        <w:rPr>
          <w:rFonts w:ascii="Arial" w:cs="Arial" w:eastAsia="Arial" w:hAnsi="Arial"/>
          <w:sz w:val="18"/>
          <w:szCs w:val="18"/>
          <w:color w:val="auto"/>
        </w:rPr>
      </w:pPr>
    </w:p>
    <w:p>
      <w:pPr>
        <w:ind w:left="960" w:right="180" w:hanging="216"/>
        <w:spacing w:after="0" w:line="253"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The expected term of the options granted is derived using the “simplified” method (that is, estimating the expected term as the mid-point between the vesting date and the end of the contractual term for each option).</w:t>
      </w:r>
    </w:p>
    <w:p>
      <w:pPr>
        <w:spacing w:after="0" w:line="74" w:lineRule="exact"/>
        <w:rPr>
          <w:rFonts w:ascii="Arial" w:cs="Arial" w:eastAsia="Arial" w:hAnsi="Arial"/>
          <w:sz w:val="18"/>
          <w:szCs w:val="18"/>
          <w:color w:val="auto"/>
        </w:rPr>
      </w:pPr>
    </w:p>
    <w:p>
      <w:pPr>
        <w:ind w:left="960" w:right="60" w:hanging="216"/>
        <w:spacing w:after="0" w:line="271"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of grant for a period that is commensurate with the assumed expected option term.</w:t>
      </w:r>
    </w:p>
    <w:p>
      <w:pPr>
        <w:spacing w:after="0" w:line="59" w:lineRule="exact"/>
        <w:rPr>
          <w:rFonts w:ascii="Arial" w:cs="Arial" w:eastAsia="Arial" w:hAnsi="Arial"/>
          <w:sz w:val="18"/>
          <w:szCs w:val="18"/>
          <w:color w:val="auto"/>
        </w:rPr>
      </w:pPr>
    </w:p>
    <w:p>
      <w:pPr>
        <w:ind w:left="960" w:right="100" w:hanging="216"/>
        <w:spacing w:after="0" w:line="271"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zero because we have not historically paid dividends,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not expect to pay dividends for the foreseeable future.</w:t>
      </w:r>
    </w:p>
    <w:p>
      <w:pPr>
        <w:spacing w:after="0" w:line="176" w:lineRule="exact"/>
        <w:rPr>
          <w:sz w:val="20"/>
          <w:szCs w:val="20"/>
          <w:color w:val="auto"/>
        </w:rPr>
      </w:pPr>
    </w:p>
    <w:p>
      <w:pPr>
        <w:ind w:left="200" w:right="20" w:firstLine="551"/>
        <w:spacing w:after="0" w:line="261" w:lineRule="auto"/>
        <w:rPr>
          <w:sz w:val="20"/>
          <w:szCs w:val="20"/>
          <w:color w:val="auto"/>
        </w:rPr>
      </w:pPr>
      <w:r>
        <w:rPr>
          <w:rFonts w:ascii="Arial" w:cs="Arial" w:eastAsia="Arial" w:hAnsi="Arial"/>
          <w:sz w:val="17"/>
          <w:szCs w:val="17"/>
          <w:color w:val="auto"/>
        </w:rPr>
        <w:t>We recorded stock-based compensation expense of $7.7 million and $10.0 million for the years ended December 31, 2017 and 2018, respectively. As of December 31, 2018, we had unrecognized stock-based compensation cost related to options granted to employees and directors of $16.7 million, net of forfeitures, which is expected to be recognized as expense over approximately 2.79 years.</w:t>
      </w:r>
    </w:p>
    <w:p>
      <w:pPr>
        <w:spacing w:after="0" w:line="186"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 xml:space="preserve">Historically,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 Given the absence of a public trading market for our common stock, our board of directors exercised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20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We have utilized the probability-weighted expected return method, or PWERM, alone or in combination with the option pricing method, or OPM, as a hybrid method, or Hybrid Method, each an accepted valuation method under the AICPA Practice Guide, for determining the fair value of our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In connection with our preparation for filing a registration statement with the SEC, we evaluated whether or not in retrospect the valuation of our common stock as of the date of each option grant over the previous 12 months was appropriate for accounting purposes.</w:t>
      </w:r>
    </w:p>
    <w:p>
      <w:pPr>
        <w:spacing w:after="0" w:line="205"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The dates of our contemporaneous valuations have not always coincided with the dates of our stock option grants. In determining the exercise prices of the stock options, our board of directors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development, our operating and financial performance and current business conditions.</w:t>
      </w:r>
    </w:p>
    <w:p>
      <w:pPr>
        <w:spacing w:after="0" w:line="202"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After the completion of this offering, the fair market value of each share of underlying common stock will be determined based on the closing price of our common stock as reported by the Nasdaq Global Select Market on the date of grant.</w:t>
      </w:r>
    </w:p>
    <w:p>
      <w:pPr>
        <w:spacing w:after="0" w:line="197"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Based on the initial public offering price of $16.00 per share, the intrinsic value of stock options outstanding at December 31, 2018 was $99.4 million, of which $75.1 million and $24.4 million related to stock options that were vested and unvested, respectively, at that date.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time to comply with new or revised accounting standards as applicable to public companies. We are choosing to elect the extended transition period for complying with new or revised accounting standards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3"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We will remain an emerging growth company until the earlier to occur of (1) (a) the last day of the fiscal year following the fifth anniversary of the completion of this offering,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16"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annual reporting periods beginning after December 15, 2018 and interim periods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beginning after December 15, 2019 using one of two retrospective application methods. The Company has engaged outside advisors to assist in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The Company currently anticipates adopting the new standard effective January 1, 2019 under the modified retrospective method.</w:t>
      </w:r>
    </w:p>
    <w:p>
      <w:pPr>
        <w:spacing w:after="0" w:line="185" w:lineRule="exact"/>
        <w:rPr>
          <w:sz w:val="20"/>
          <w:szCs w:val="20"/>
          <w:color w:val="auto"/>
        </w:rPr>
      </w:pPr>
    </w:p>
    <w:p>
      <w:pPr>
        <w:ind w:left="200" w:right="100" w:firstLine="551"/>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assessing the timing of adoption and the impact that the adoption of ASU 2016-02 will have on its consolidated financial statements and related disclosures.</w:t>
      </w:r>
    </w:p>
    <w:p>
      <w:pPr>
        <w:spacing w:after="0" w:line="185"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w:t>
      </w:r>
      <w:r>
        <w:rPr>
          <w:rFonts w:ascii="Arial" w:cs="Arial" w:eastAsia="Arial" w:hAnsi="Arial"/>
          <w:sz w:val="18"/>
          <w:szCs w:val="18"/>
          <w:i w:val="1"/>
          <w:iCs w:val="1"/>
          <w:color w:val="auto"/>
        </w:rPr>
        <w:t>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 Based Payment Accounting as part of the FASB simplification initiative</w:t>
      </w:r>
      <w:r>
        <w:rPr>
          <w:rFonts w:ascii="Arial" w:cs="Arial" w:eastAsia="Arial" w:hAnsi="Arial"/>
          <w:sz w:val="18"/>
          <w:szCs w:val="18"/>
          <w:color w:val="auto"/>
        </w:rPr>
        <w:t>.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5"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w:t>
      </w:r>
      <w:r>
        <w:rPr>
          <w:rFonts w:ascii="Arial" w:cs="Arial" w:eastAsia="Arial" w:hAnsi="Arial"/>
          <w:sz w:val="18"/>
          <w:szCs w:val="18"/>
          <w:i w:val="1"/>
          <w:iCs w:val="1"/>
          <w:color w:val="auto"/>
        </w:rPr>
        <w:t>— 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elected to early adopt this ASU for the year ended December 31, 2018, noting no impact of this ASU on the presentation of its consolidated statement of cash flows due to no changes in restricted cash during the year.</w:t>
      </w:r>
    </w:p>
    <w:p>
      <w:pPr>
        <w:spacing w:after="0" w:line="185" w:lineRule="exact"/>
        <w:rPr>
          <w:sz w:val="20"/>
          <w:szCs w:val="20"/>
          <w:color w:val="auto"/>
        </w:rPr>
      </w:pPr>
    </w:p>
    <w:p>
      <w:pPr>
        <w:ind w:left="200" w:right="20" w:firstLine="551"/>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181" w:lineRule="exact"/>
        <w:rPr>
          <w:sz w:val="20"/>
          <w:szCs w:val="20"/>
          <w:color w:val="auto"/>
        </w:rPr>
      </w:pPr>
    </w:p>
    <w:p>
      <w:pPr>
        <w:ind w:left="200" w:right="220" w:firstLine="551"/>
        <w:spacing w:after="0" w:line="25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61" w:lineRule="auto"/>
        <w:rPr>
          <w:sz w:val="20"/>
          <w:szCs w:val="20"/>
          <w:color w:val="auto"/>
        </w:rPr>
      </w:pPr>
      <w:r>
        <w:rPr>
          <w:rFonts w:ascii="Arial" w:cs="Arial" w:eastAsia="Arial" w:hAnsi="Arial"/>
          <w:sz w:val="17"/>
          <w:szCs w:val="17"/>
          <w:color w:val="auto"/>
        </w:rPr>
        <w:t>from non-employees. This ASU will be effective for the Company for fiscal years beginning after December 15, 2019, and interim periods within fiscal years beginning after December 15, 2020, with early adoption permitted. The Company is currently assessing the timing of adoption and the impact that the adoption of ASU 2018-07 will have on its consolidated financial statements and related disclosures.</w:t>
      </w:r>
    </w:p>
    <w:p>
      <w:pPr>
        <w:spacing w:after="0" w:line="168"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808 and Topic 606</w:t>
      </w:r>
      <w:r>
        <w:rPr>
          <w:rFonts w:ascii="Arial" w:cs="Arial" w:eastAsia="Arial" w:hAnsi="Arial"/>
          <w:sz w:val="18"/>
          <w:szCs w:val="18"/>
          <w:color w:val="auto"/>
        </w:rPr>
        <w:t>, which clarifies that certain transactions between collaborative arrangement participants should be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as revenue under Topic 606 when then collaborative arrangement participant is a customer in the context of a unit of account. In those situations, all the guidance in Topic 606 should be applied, including recognition, measurement, presentation, and disclosure requirements. This ASU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consolidated financial statements.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mid-2019. In an ongoing Phase 2 clinical trial, NGM282 demonstrated the ability to rapidly improve NASH and reverse liver fibrosis at 12 weeks. We have created this portfolio using our research and drug discovery approach that employs unbiased, </w:t>
      </w:r>
      <w:r>
        <w:rPr>
          <w:rFonts w:ascii="Arial" w:cs="Arial" w:eastAsia="Arial" w:hAnsi="Arial"/>
          <w:sz w:val="18"/>
          <w:szCs w:val="18"/>
          <w:i w:val="1"/>
          <w:iCs w:val="1"/>
          <w:color w:val="auto"/>
        </w:rPr>
        <w:t>in vivo</w:t>
      </w:r>
      <w:r>
        <w:rPr>
          <w:rFonts w:ascii="Arial" w:cs="Arial" w:eastAsia="Arial" w:hAnsi="Arial"/>
          <w:sz w:val="18"/>
          <w:szCs w:val="18"/>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2015, we entered into a five-year research collaboration, product development and license agreement with Merck Sharp &amp; Dohme Corp., or Merck. On March 15, 2019, Merck exercised its option to extend the collaboration for two additional years. The collaboration includes an exclusive worldwide license to our growth differentiation factor 15, or GDF15, program. On March 1, 2019, Merck notified us of its intent to terminate its license to the program, effective May 31, 2019. Under the collaboration agreement, we also granted Merck options to take exclusive, worldwide licenses for the programs in our research and development pipeline on a program-by-program basis. Merck generally has a one -time right to exercise its option when a program completes a human proof-of-concept trial. In November 2018, Merck exercised its option to license NGM313, an agonistic antibody selectively activating fibroblast growth factor receptor 1c-beta-klotho, or FGFR1c/KLB, which is a potential treatment for NASH and type 2 diabetes.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Our seven proprietary product candidates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147955</wp:posOffset>
            </wp:positionV>
            <wp:extent cx="5196840" cy="40049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96840" cy="400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960" w:hanging="216"/>
        <w:spacing w:after="0" w:line="23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FGF19 is a highly specific and potent regulator of liver fat metabolism and bile acid synthesis that we believe is responsible for some of the beneficial effects of gastric bypass surgery on NASH. Preliminary results from Phase 2 clinical trials have provided clinical proof of concept for a once-daily injection of NGM282 by demonstrating statistically significant reductions in liver fat, liver transaminases and biomarkers of fibrosis, which has translated into improvements in liver histology and fibrosis at 12 weeks. We expect interim data in the second half of 2019 from our ongoing placebo-controlled Phase 2 clinical trial cohort assessing the histological effects of NGM282 after 24 weeks of treatment. We plan to commence testing of NGM282 in a Phase 2b dose range-finding clinical trial for the treatment of NASH patients with F2 and F3 liver fibrosis in mid-2019 and a Phase 2b clinical</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trial in NASH patients with compensated cirrhosis in the second half of 2019. We expect to complete our Phase 2b clinical trial of NGM282 in NASH patients with F2 and F3 liver fibrosis in 2020. We excluded our FGF19 program, including NGM282, from our Merck collaboration, and it remains wholly-owned by us.</w:t>
      </w:r>
    </w:p>
    <w:p>
      <w:pPr>
        <w:spacing w:after="0" w:line="108" w:lineRule="exact"/>
        <w:rPr>
          <w:sz w:val="20"/>
          <w:szCs w:val="20"/>
          <w:color w:val="auto"/>
        </w:rPr>
      </w:pPr>
    </w:p>
    <w:p>
      <w:pPr>
        <w:ind w:left="960" w:right="60" w:hanging="216"/>
        <w:spacing w:after="0" w:line="23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NGM313 is an agonistic antibody binding KLB and has the potential as an insulin sensitizer and regulator of lipid homeostasis to be a once-monthly treatment for NASH and type 2 diabetes. NGM313 works by selectively activating the FGFR1c/KLB co-receptor complex, which regulates energy expenditure and glucose uptake in fat cells and other tissues. Preliminary data from a Phase 1b early proof-of-concept clinical trial in obese insulin resistant subjects with nonalcoholic fatty liver disease, or NAFLD, demonstrated that a single dose of NGM313 resulted in a statistically significant reduction in liver fat content and improvements in multiple metabolic parameters. Following review of the NGM313 data package, Merck exercised its option to license the program in November 2018. We expect Merck to initiate a Phase 2b study of NGM313 in NASH patients in the late 2019 or early 2020.</w:t>
      </w:r>
    </w:p>
    <w:p>
      <w:pPr>
        <w:spacing w:after="0" w:line="113" w:lineRule="exact"/>
        <w:rPr>
          <w:rFonts w:ascii="Arial" w:cs="Arial" w:eastAsia="Arial" w:hAnsi="Arial"/>
          <w:sz w:val="18"/>
          <w:szCs w:val="18"/>
          <w:color w:val="auto"/>
        </w:rPr>
      </w:pPr>
    </w:p>
    <w:p>
      <w:pPr>
        <w:ind w:left="960" w:right="160" w:hanging="216"/>
        <w:spacing w:after="0" w:line="23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NGM120 is an antagonistic antibody binding GFRAL that is designed to inhibit the effects of elevated GDF15 levels on cancer anorexia/cachexia syndrome, or CACS, and, possibly, cancer. NGM120 works by selectively inhibiting the interaction between GDF15 and its cognate receptor, GFRAL, through which the autonomic nervous system and, possibly, the neuroendocrine axis influence the body’s fuel flux to propel the cachectic state, and, possibly, the cancer itself, in cancer patients that have high serum levels of GDF15. We are currently testing NGM120 in healthy volunteers in a Phase 1 clinical trial to assess its safety, tolerability and pharmacokinetic profile. We expect to initiate a Phase 1a/1b clinical trial of NGM120 in cancer patients in the second half of 2019. Merck has a one-time option to license NGM120 upon our completion of a proof-of-concept study in humans.</w:t>
      </w:r>
    </w:p>
    <w:p>
      <w:pPr>
        <w:spacing w:after="0" w:line="113" w:lineRule="exact"/>
        <w:rPr>
          <w:rFonts w:ascii="Arial" w:cs="Arial" w:eastAsia="Arial" w:hAnsi="Arial"/>
          <w:sz w:val="18"/>
          <w:szCs w:val="18"/>
          <w:color w:val="auto"/>
        </w:rPr>
      </w:pPr>
    </w:p>
    <w:p>
      <w:pPr>
        <w:ind w:left="960" w:right="320" w:hanging="216"/>
        <w:spacing w:after="0" w:line="238"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designed to restore pancreatic islet function and increase insulin production in patients with diabetes. NGM217 is in a Phase 1 clinical trial in adults with diabetes, where we are assessing its ability to increase levels of C-peptide, a biomarker of insulin production. We expect to initiate a Phase 1b/2a proof-of-concept clinical trial in adults with diabetes in 2020. Merck has a one-time option to license NGM217 upon our completion of a proof-of-concept study in humans.</w:t>
      </w:r>
    </w:p>
    <w:p>
      <w:pPr>
        <w:spacing w:after="0" w:line="108" w:lineRule="exact"/>
        <w:rPr>
          <w:rFonts w:ascii="Arial" w:cs="Arial" w:eastAsia="Arial" w:hAnsi="Arial"/>
          <w:sz w:val="18"/>
          <w:szCs w:val="18"/>
          <w:color w:val="auto"/>
        </w:rPr>
      </w:pPr>
    </w:p>
    <w:p>
      <w:pPr>
        <w:ind w:left="960" w:right="240" w:hanging="216"/>
        <w:spacing w:after="0" w:line="238"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designed to decrease levels of a protein implicated in the dry form of age-related macular degeneration, or dry AMD. NGM621 is in IND-enabling studies, and we expect to begin a Phase 1 safety, tolerability and pharmacokinetics clinical trial in patients with geographic atrophy, or GA, an advanced form of dry AMD, in the second half of 2019. Merck has a one-time option to license NGM621 upon our completion of a proof-of-concept study in humans.</w:t>
      </w:r>
    </w:p>
    <w:p>
      <w:pPr>
        <w:spacing w:after="0" w:line="108" w:lineRule="exact"/>
        <w:rPr>
          <w:rFonts w:ascii="Arial" w:cs="Arial" w:eastAsia="Arial" w:hAnsi="Arial"/>
          <w:sz w:val="18"/>
          <w:szCs w:val="18"/>
          <w:color w:val="auto"/>
        </w:rPr>
      </w:pPr>
    </w:p>
    <w:p>
      <w:pPr>
        <w:ind w:left="960" w:hanging="216"/>
        <w:spacing w:after="0" w:line="23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NGM386 and NGM395 are engineered variants of the human hormone known as GDF15, which were being developed by Merck under the collaboration for the treatment of obesity. We discovered that metabolic activity of GDF15 is mediated by glial cell-derived neurotrophic factor receptor alpha-like, or GFRAL, which is located in a region of the brain stem outside the blood-brain barrier. NGM386, a once-daily injection, and NGM395, a once-weekly or less frequent injection, are designed to stimulate a pathway that modulates the autonomic nervous system and, possibly, the neuroendocrine axis to modify body weight and fat levels in the body. Merck licensed this GDF15 receptor agonist program and completed the conduct of a Phase 1 clinical trial of NGM386 in overweight or obese but otherwise healthy adults. Preliminary data from the study indicated that NGM386 treatment for 28 days was generally well-tolerated but did not result in significant body weight loss in obese subjects. On March 1, 2019, Merck notified us of its intent to terminate its license to the GDF15 receptor agonist program, effective May 31, 2019. Upon effectiveness of this termination, we will regain full rights to the program, which</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40"/>
        <w:spacing w:after="0" w:line="246" w:lineRule="auto"/>
        <w:rPr>
          <w:sz w:val="20"/>
          <w:szCs w:val="20"/>
          <w:color w:val="auto"/>
        </w:rPr>
      </w:pPr>
      <w:r>
        <w:rPr>
          <w:rFonts w:ascii="Arial" w:cs="Arial" w:eastAsia="Arial" w:hAnsi="Arial"/>
          <w:sz w:val="18"/>
          <w:szCs w:val="18"/>
          <w:color w:val="auto"/>
        </w:rPr>
        <w:t>includes NGM386 and NGM395. We expect to decide whether to advance NGM386 and/or NGM395 following our analysis of the results of the NGM386 Phase 1 study.</w:t>
      </w:r>
    </w:p>
    <w:p>
      <w:pPr>
        <w:spacing w:after="0" w:line="19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Using our drug discovery approach, we have identified and are actively investigating over ten additional biological pathways with potential to intervene in disease. For these pathways, we are further identifying mechanistic insights and their relevance to human biology, and generating biologic drug candidates that appropriately modulate the signals we have identified. These programs are in various stages of development, ranging from functional validation to lead candidate generation. Discovery activity in selected therapeutic areas beyond cardio-metabolic, liver, oncologic and ophthalmic diseases is ongoing and in various stages of research.</w:t>
      </w:r>
    </w:p>
    <w:p>
      <w:pPr>
        <w:spacing w:after="0" w:line="203"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Our management, scientists, board members and advisors have long track records of identifying multiple, class-defining drugs with meaningful clinical and commercial impact. Our scientific values and guiding principles have grown out of our team’s experience and involvement at companies that have built prolific drug discovery and development platforms, particularly Amgen Inc., Genentech, Inc. and Tularik Inc. We believe that this collective experience uniquely positions our team to execute on our strategy.</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00" w:right="300" w:firstLine="551"/>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86" w:lineRule="exact"/>
        <w:rPr>
          <w:sz w:val="20"/>
          <w:szCs w:val="20"/>
          <w:color w:val="auto"/>
        </w:rPr>
      </w:pPr>
    </w:p>
    <w:p>
      <w:pPr>
        <w:ind w:left="960" w:hanging="216"/>
        <w:spacing w:after="0" w:line="239"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NGM282, Our Wholly-Owned Compound, as the Leading Treatment for NASH Patients with Moderate to Advanced Fibrosis: </w:t>
      </w:r>
      <w:r>
        <w:rPr>
          <w:rFonts w:ascii="Arial" w:cs="Arial" w:eastAsia="Arial" w:hAnsi="Arial"/>
          <w:sz w:val="18"/>
          <w:szCs w:val="18"/>
          <w:color w:val="auto"/>
        </w:rPr>
        <w:t>In Phase 2 clinical trials in NASH, patients taking NGM282 have experienced rapid and robust reductions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liver fat, liver transaminases, hepatocellular ballooning and fibrosis. These results suggest that NGM282 has the potential to resolve disease and reverse fibrosis in NASH patients with moderate to advanced liver fibrosis. We plan to initiate a Phase 2b clinical trial of NGM282 in NASH patients with fibrosis stage F2 and F3 in mid-2019 and a Phase 2b clinical trial in NASH patients with compensated cirrhosis in the second half of 2019, which will inform dose selection for a Phase 3 clinical trial in these patient populations to support a filing for initial marketing approval. As part of our life cycle management strategy, we intend to also develop a version of NGM282 with an extended half-life, or exposure duration in the blood, which will enable less frequent dosing.</w:t>
      </w:r>
    </w:p>
    <w:p>
      <w:pPr>
        <w:spacing w:after="0" w:line="89" w:lineRule="exact"/>
        <w:rPr>
          <w:rFonts w:ascii="Arial" w:cs="Arial" w:eastAsia="Arial" w:hAnsi="Arial"/>
          <w:sz w:val="18"/>
          <w:szCs w:val="18"/>
          <w:color w:val="auto"/>
        </w:rPr>
      </w:pPr>
    </w:p>
    <w:p>
      <w:pPr>
        <w:ind w:left="960" w:right="120" w:hanging="216"/>
        <w:spacing w:after="0" w:line="242"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Collaboration with Merck to Advance Our Pipeline: </w:t>
      </w:r>
      <w:r>
        <w:rPr>
          <w:rFonts w:ascii="Arial" w:cs="Arial" w:eastAsia="Arial" w:hAnsi="Arial"/>
          <w:sz w:val="18"/>
          <w:szCs w:val="18"/>
          <w:color w:val="auto"/>
        </w:rPr>
        <w:t>Our collaboration with Merck provides us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and access to industry-leading, late-stage clinical development and commercialization capabilities, which we believe affords us substantial freedom to pursue and achieve our vision. We intend to leverage Merck’s financial support and translational expertise to accelerate and broaden our development efforts for our programs beyond NGM282, NGM386 and NGM395. Our option to elect a cost and profit share for collaboration products preserves our substantial economic participation in such programs.</w:t>
      </w:r>
    </w:p>
    <w:p>
      <w:pPr>
        <w:spacing w:after="0" w:line="84" w:lineRule="exact"/>
        <w:rPr>
          <w:rFonts w:ascii="Arial" w:cs="Arial" w:eastAsia="Arial" w:hAnsi="Arial"/>
          <w:sz w:val="18"/>
          <w:szCs w:val="18"/>
          <w:color w:val="auto"/>
        </w:rPr>
      </w:pPr>
    </w:p>
    <w:p>
      <w:pPr>
        <w:ind w:left="960" w:right="40" w:hanging="216"/>
        <w:spacing w:after="0" w:line="242"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Pipeline and Extend Our Therapeutic Areas of Focus: </w:t>
      </w:r>
      <w:r>
        <w:rPr>
          <w:rFonts w:ascii="Arial" w:cs="Arial" w:eastAsia="Arial" w:hAnsi="Arial"/>
          <w:sz w:val="18"/>
          <w:szCs w:val="18"/>
          <w:color w:val="auto"/>
        </w:rPr>
        <w:t>Our initial research focus is on the biology underlying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cardio-metabolic, liver, oncologic and ophthalmic diseases. Our collaboration with Merck creates an incentive for us to develop multiple candidates through human proof-of-concept studies, but does not limit the therapeutic areas that we can explore. We are working to establish human proof of concept for NGM120 in cancer patients and NGM621 for dry AMD, and plan to continue growing our pipeline of product candidates at our historical rate, with the goal of identifying high-impact therapeutics that are first-in-class.</w:t>
      </w:r>
    </w:p>
    <w:p>
      <w:pPr>
        <w:spacing w:after="0" w:line="84" w:lineRule="exact"/>
        <w:rPr>
          <w:rFonts w:ascii="Arial" w:cs="Arial" w:eastAsia="Arial" w:hAnsi="Arial"/>
          <w:sz w:val="18"/>
          <w:szCs w:val="18"/>
          <w:color w:val="auto"/>
        </w:rPr>
      </w:pPr>
    </w:p>
    <w:p>
      <w:pPr>
        <w:ind w:left="960" w:right="200" w:hanging="216"/>
        <w:spacing w:after="0" w:line="271"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Capabilities to Deliver Medicines to Patients in Areas of High Unmet Medical Need: </w:t>
      </w:r>
      <w:r>
        <w:rPr>
          <w:rFonts w:ascii="Arial" w:cs="Arial" w:eastAsia="Arial" w:hAnsi="Arial"/>
          <w:sz w:val="18"/>
          <w:szCs w:val="18"/>
          <w:color w:val="auto"/>
        </w:rPr>
        <w:t>We have worldwide rights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lead product candidate, NGM282. If approved, we</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39" w:lineRule="auto"/>
        <w:rPr>
          <w:sz w:val="20"/>
          <w:szCs w:val="20"/>
          <w:color w:val="auto"/>
        </w:rPr>
      </w:pPr>
      <w:r>
        <w:rPr>
          <w:rFonts w:ascii="Arial" w:cs="Arial" w:eastAsia="Arial" w:hAnsi="Arial"/>
          <w:sz w:val="18"/>
          <w:szCs w:val="18"/>
          <w:color w:val="auto"/>
        </w:rPr>
        <w:t>intend to bring NGM282 to market by building our own specialty salesforce in the United States targeting hepatologists and may seek to expand our reach by leveraging partners’ commercial capabilities. We believe a targeted salesforce would have the ability to deliver NGM282 to the majority of the initial target population of NASH patients with moderate to advanced fibrosis. For our other programs, our collaboration with Merck provides us the option to participate in co-detailing in the United States.</w:t>
      </w:r>
    </w:p>
    <w:p>
      <w:pPr>
        <w:spacing w:after="0" w:line="85" w:lineRule="exact"/>
        <w:rPr>
          <w:sz w:val="20"/>
          <w:szCs w:val="20"/>
          <w:color w:val="auto"/>
        </w:rPr>
      </w:pPr>
    </w:p>
    <w:p>
      <w:pPr>
        <w:ind w:left="960" w:right="80" w:hanging="216"/>
        <w:spacing w:after="0" w:line="242"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Strengthen Our Position as a Leading Drug Discovery and Development Company: </w:t>
      </w:r>
      <w:r>
        <w:rPr>
          <w:rFonts w:ascii="Arial" w:cs="Arial" w:eastAsia="Arial" w:hAnsi="Arial"/>
          <w:sz w:val="18"/>
          <w:szCs w:val="18"/>
          <w:color w:val="auto"/>
        </w:rPr>
        <w:t>We aspire to operate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productive research and development engines in the biopharmaceutical industry. In the last decade, our team of experienced scientists and drug developers has designated seven molecules for development, five of which are in clinical development. We intend to continue growing our pipeline of experimental medicines and build on our proficiency in discovery research by continuing to expand our capabilities in protein and antibody engineering, pharmacology, translational medicine and preclinical and clinical development.</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pursue drug discovery and development through a multi-step process geared towards translating powerful human biology into first-in-class medicines. Our founding team designed our approach based on many decades of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This process seeks to address the challenges in drug discovery in diseases that involve complex, integrated biological pathways.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Identifying Pathways of Interest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identify target genes or pathways of interest by utilizing three approaches:</w:t>
      </w:r>
    </w:p>
    <w:p>
      <w:pPr>
        <w:spacing w:after="0" w:line="99" w:lineRule="exact"/>
        <w:rPr>
          <w:sz w:val="20"/>
          <w:szCs w:val="20"/>
          <w:color w:val="auto"/>
        </w:rPr>
      </w:pPr>
    </w:p>
    <w:p>
      <w:pPr>
        <w:ind w:left="1180" w:right="20" w:hanging="206"/>
        <w:spacing w:after="0" w:line="251"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formed the foundation of our discovery efforts in metabolism and enabled us to identify and characterize novel human hormones that demonstrate profound biological effects, including FGF19 and GDF15, for which we have advanced development candidates;</w:t>
      </w:r>
    </w:p>
    <w:p>
      <w:pPr>
        <w:spacing w:after="0" w:line="97" w:lineRule="exact"/>
        <w:rPr>
          <w:rFonts w:ascii="Arial" w:cs="Arial" w:eastAsia="Arial" w:hAnsi="Arial"/>
          <w:sz w:val="18"/>
          <w:szCs w:val="18"/>
          <w:color w:val="auto"/>
        </w:rPr>
      </w:pPr>
    </w:p>
    <w:p>
      <w:pPr>
        <w:ind w:left="1180" w:right="20" w:hanging="206"/>
        <w:spacing w:after="0" w:line="246"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analysis of human genetics data to identify genetic markers, such as single nucleotide polymorphisms, or SNPs, that correlate with a particular phenotype associated with disease; and</w:t>
      </w:r>
    </w:p>
    <w:p>
      <w:pPr>
        <w:spacing w:after="0" w:line="102" w:lineRule="exact"/>
        <w:rPr>
          <w:rFonts w:ascii="Arial" w:cs="Arial" w:eastAsia="Arial" w:hAnsi="Arial"/>
          <w:sz w:val="18"/>
          <w:szCs w:val="18"/>
          <w:color w:val="auto"/>
        </w:rPr>
      </w:pPr>
    </w:p>
    <w:p>
      <w:pPr>
        <w:ind w:left="1180" w:right="180" w:hanging="206"/>
        <w:spacing w:after="0" w:line="246"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 expression profiling to identify genes that are regulated by certain conditions or disease states and that may contribute to the associated pathology.</w:t>
      </w:r>
    </w:p>
    <w:p>
      <w:pPr>
        <w:spacing w:after="0" w:line="179"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 xml:space="preserve">We then characterize and confirm the effects of modulating the biological activity of these potential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designed to mimic the disease of interest. We interrogate the biological activity of candidate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because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which take place outside a living organism, are not capable of adequately reflecting complex biological processes and interactions that are regulated by multi-organ systems. Historically,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at a scale and speed for drug discovery has not been practical as it has largely been dependent on generating purified protein for functional testing. We use recombinant adeno-associated virus, or rAAV, vectors, a proven research tool that can introduce the gene of interest directly into disease models to enable the biological function of the resultant protein to be assessed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this rAAV technology, we initially developed 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that formed the foundation of our</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 xml:space="preserve">discovery efforts in cardio-metabolic disease and enabled us to identify novel pathways that demonstrate profound metabolic effects. In addition, we utilize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 loss of function mutations or knockouts to understand the function of certain human genes as they relate to the disease of interest. By employing these approaches in animal models of human diseases, we can elucidate the biology of potential human drug targets in a relevant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setting and evaluate their impact on the manifestation and progression of disease.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Translation of Pathway Biology to Product Candidates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Once a strong indication of biological activity is generated for a protein of interest, we employ a differentiated process aimed at quickly identifying a lead candidate to enable us to rapidly advance the program to evaluate the effect of these product candidates on biomarkers of disease or target activity in order to enable early demonstration of human proof of concept. We probe the mechanism of action, signaling pathways and the relationship between the protein structure and function to help inform how to translate the biological activity into a potential product candidate. Through these activities we have been able to identify novel interaction partners, their expression patterns and their signaling activities, which help elucidate biological mechanisms and inform selection of a lead candidate. We leverage our expertise in protein and antibody engineering to translate biological signals into differentiated product candidates. We have an unbiased antibody generation technology, along with an armamentarium of therapeutic protein and antibody engineering capabilities, including bispecific antibodies, bifunctional antibody fusions and methods for extending the half-lives of native proteins. This range of potential modalities not only allows us to generate a portfolio of product candidates from which to select a lead, but also provides important tools to define the biological activity of the candidates.</w:t>
      </w:r>
    </w:p>
    <w:p>
      <w:pPr>
        <w:spacing w:after="0" w:line="206"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After we have identified a lead candidate in a program, we design our early clinical trials to provide proof of biological activity, in addition to assessing safety and tolerability, to determine whether the activity we have observed in animal models can be translated into human subjects. We believe our deep understanding of the fundamental biological mechanisms observed for our chosen development candidates and the specific relationship between structure and pharmacological function distinguishes our drug discovery approach from many others applied in our industry today.</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 cornerstone of our research and development approach is the experienced and talented team of scientists and drug developers who built and run it. A common theme in our team’s expertise is the ability to translate biological signals in animal models into drugs with human activity. Members of our team played significant roles at prior companies in discovering and developing multiple approved drugs, including recombinant human insulin, human growth hormone, tissue plasminogen activator and interferon alpha and gamma, as well as metreleptin and evolocumab (Repatha</w:t>
      </w:r>
      <w:r>
        <w:rPr>
          <w:rFonts w:ascii="Arial" w:cs="Arial" w:eastAsia="Arial" w:hAnsi="Arial"/>
          <w:sz w:val="15"/>
          <w:szCs w:val="15"/>
          <w:color w:val="auto"/>
        </w:rPr>
        <w:t>®</w:t>
      </w:r>
      <w:r>
        <w:rPr>
          <w:rFonts w:ascii="Arial" w:cs="Arial" w:eastAsia="Arial" w:hAnsi="Arial"/>
          <w:sz w:val="18"/>
          <w:szCs w:val="18"/>
          <w:color w:val="auto"/>
        </w:rPr>
        <w:t>). Our team seamlessly integrates discovery biology, protein and antibody engineering, preclinical development, early clinical development and manufacturing for each program. Our scientific advisory board further strengthens our experience base and includes key contributors to the discovery of the statin class of drugs, as well as thought leaders in new areas complementary to our early-stage research efforts.</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Initial Focus on Cardio-Metabolic and Liver Disease</w:t>
      </w:r>
    </w:p>
    <w:p>
      <w:pPr>
        <w:spacing w:after="0" w:line="234"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Cardio-metabolic and liver diseases, including NASH, diabetes and obesity, are among the largest unmet medical needs globally, and represent a leading cause of morbidity and mortality, a significant burden for healthcare systems and an area of relative underinvestment by the pharmaceutical industry. Metabolic syndrome is exhibited by 34% of adults in the United States and is believed to be at the center of this health epidemic. Metabolic syndrome comprises a constellation of co-morbid conditions, including type 2 diabetes, obesity, high blood pressure, poorly regulated lipids and NAFLD, a precursor condition to NASH. Despite a wave of public health campaigns to promote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better diet and exercise habits and a range of treatment options available for many of these cardio-metabolic diseases, morbidity and mortality rates remain high and more effective therapeutics are needed.</w:t>
      </w:r>
    </w:p>
    <w:p>
      <w:pPr>
        <w:spacing w:after="0" w:line="197"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Cardio-metabolic and liver diseases represent areas of both rapidly growing unmet medical need and underinvestment, driven in part by the biological complexity of the diseases and the substantial costs necessary to develop new therapeutics. Leveraging our differentiated drug discovery approach, we have spent the last decade discovering and developing a portfolio of clinical-stage drug candidates that target various forms of cardio -metabolic disease including NASH, type 2 diabetes and obesity. Each of these drug candidates stem from novel insights we have made in understanding hormone pathways that regulate cardio-metabolic processes. NGM282 is our lead product candidate in development for treating NASH, a cardio-metabolic liver disease. As explained below, the clinically validated, dual mechanism of action of NGM282 supports its therapeutic potential in NASH, an indication with a high prevalence and for which there are no approved treatments. Our investment in cardio-metabolic diseases was further expanded in 2015 through our collaboration with Merck, which provided resources to advance multiple programs, in addition to our wholly-owned NGM282 program. Our six most advanced clinical candidates—NGM282, NGM313, NGM386, NGM120, NGM217 and NGM395—are notable because their preclinical profiles suggest the potential to broadly impact the drivers of various diseases with an underlying metabolic dysregulation. These programs are in human clinical trials or preparing to enter human clinical trials.</w:t>
      </w: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Other Focus Areas</w:t>
      </w:r>
    </w:p>
    <w:p>
      <w:pPr>
        <w:spacing w:after="0" w:line="234"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Beyond cardio-metabolic and liver diseases, we are also pursuing treatments for oncologic and ophthalmic diseases, which are also major disease categories that are growing in incidence and lack adequate treatments. NGM120 is our first product in oncology and NGM621 is our first product candidate in ophthalmic disease. All of our programs embody our focus on delivering transformative therapeutics to patients by applying our proprietary insights into powerful biology underlying major diseases.</w:t>
      </w:r>
    </w:p>
    <w:p>
      <w:pPr>
        <w:spacing w:after="0" w:line="28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Programs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NGM282: A Rapid and Potent Approach to Treating NASH</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 400 subjects, including more than 150 NASH patients, and we expect to initiate a Phase 2b clinical trial in NASH patients in mid-2019. NGM282 is wholly-owned, and it is not subject to our collaboration with Merck.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NASH: A Progressive Metabolic and Fibrotic Disease of the Liver that Affects Millions</w:t>
      </w:r>
    </w:p>
    <w:p>
      <w:pPr>
        <w:spacing w:after="0" w:line="122" w:lineRule="exact"/>
        <w:rPr>
          <w:sz w:val="20"/>
          <w:szCs w:val="20"/>
          <w:color w:val="auto"/>
        </w:rPr>
      </w:pPr>
    </w:p>
    <w:p>
      <w:pPr>
        <w:jc w:val="both"/>
        <w:ind w:left="200" w:right="200" w:firstLine="551"/>
        <w:spacing w:after="0" w:line="238" w:lineRule="auto"/>
        <w:rPr>
          <w:sz w:val="20"/>
          <w:szCs w:val="20"/>
          <w:color w:val="auto"/>
        </w:rPr>
      </w:pPr>
      <w:r>
        <w:rPr>
          <w:rFonts w:ascii="Arial" w:cs="Arial" w:eastAsia="Arial" w:hAnsi="Arial"/>
          <w:sz w:val="18"/>
          <w:szCs w:val="18"/>
          <w:color w:val="auto"/>
        </w:rPr>
        <w:t>NASH is a life threatening form of liver disease. It results from the progression of NAFLD, which is a common co-morbidity of the metabolic syndrome and obesity. NAFLD is characterized by abnormal amounts of fat in the liver, a condition known as steatosis, and is often associated with insulin resistance. This abnormal fat in the liver contributes to the progression by certain NAFLD patients to NASH by developing a necroinflammatory state in the liver that ultimately drives scarring, also known as fibrosis, and, for many, progresses to liver failure, also known as cirrhosis.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The estimated global prevalence of NAFLD and NASH has risen rapidly in parallel with the dramatic rise in population levels of obesity and diabetes. NAFLD now represents the most common cause of liver disease in the Western world. In the United States alone, the prevalence of NASH was estimated to total 16.5 million cases and is projected to reach 27 million cases by 2030, with similar trends occurring globally. By 2020, NASH is expected to supplant hepatitis C as the leading cause for liver transplantation, and liver-related deaths in the NAFLD population are expected to increase by more than 150% in the next 15 years. The annual economic burden associated with NAFLD and NASH in the United States was estimated to have been over $100 billion in 2016.</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Although the mechanism underlying the development and progression from simple steatosis to NASH and cirrhosis is poorly understood, insulin resistance and inflammatory mediators, including lipotoxicity, cytokines and oxidative stress, are believed to promote the development of NASH and its extrahepatic complications. Excess lipotoxic, or fat, metabolites in the liver are believed to provide the primary insult in the pathogenesis of NASH, and several treatments are in development targeting mechanisms to reduce these disease drivers. Other treatments in development aim to reduce the inflammatory and fibrotic damage created by this metabolic dysregulation. Evidence also supports a role for bile acids in the pathogenesis of liver inflammation and fibrosis. Accumulation of bile acids, in particular, more toxic hydrophobic bile acids, within hepatocytes can cause mitochondrial dysfunction, endoplasmic reticulum stress and immune cell infiltration that can ultimately lead to inflammation, cell death and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149860</wp:posOffset>
            </wp:positionV>
            <wp:extent cx="5188585" cy="20497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8858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Most patients with NASH are diagnosed in their forties or fifties, however, NASH develops across all ages, including in children, which is thought to be linked to an increase in childhood obesity. Most NASH patients are asymptomatic, although some may present with fatigue, malaise and vague right-upper abdominal discomfort. Patients are more likely to be initially identified by elevated liver aminotransferases on routine lab tests or hepatic steatosis detected incidentally on abdominal imaging. While non-invasive diagnostic tools are under development, a definitive diagnosis of NASH is currently only achievable through liver biopsy to assess the components of the NAFLD activity score, or NAS.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histologic criteria for the diagnosis of adult NASH include steatosis, lobular inflammation and hepatocellular ballooning. Portal and periportal fibrosis followed by bridging fibrosis and cirrhosis are seen in patients as NASH progresses. Physicians assess the severity of NASH by liver biopsy using two different scoring systems, the NAS and the fibrosis stage (F0 to F4). The table below describes the scoring criteria of the two systems:</w:t>
      </w:r>
    </w:p>
    <w:p>
      <w:pPr>
        <w:spacing w:after="0" w:line="1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NAFLD Activity Score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166370</wp:posOffset>
            </wp:positionV>
            <wp:extent cx="4373880" cy="2126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7388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Fibrosis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165735</wp:posOffset>
            </wp:positionV>
            <wp:extent cx="4399280" cy="12179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9928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The NAS is a validated score of liver histology that is used to grade disease activity in patients with NAFLD and NASH. The NAS is the sum of the liver biopsy’s individual scores for steatosis (0–3), lobular inflammation (0–3) and hepatocellular ballooning (0–2), with fibrosis (F0–F4) scored separately. Advanced liver fibrosis is generally considered fibrosis stage F3 and F4, which may ultimately lead to end-stage liver disease, liver cancer, liver transplant and/or death.</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FDA Draft Industry Guidance on NASH Drug Development and Endpoints</w:t>
      </w:r>
    </w:p>
    <w:p>
      <w:pPr>
        <w:spacing w:after="0" w:line="122" w:lineRule="exact"/>
        <w:rPr>
          <w:sz w:val="20"/>
          <w:szCs w:val="20"/>
          <w:color w:val="auto"/>
        </w:rPr>
      </w:pPr>
    </w:p>
    <w:p>
      <w:pPr>
        <w:ind w:left="200" w:right="560" w:firstLine="551"/>
        <w:spacing w:after="0" w:line="246" w:lineRule="auto"/>
        <w:rPr>
          <w:sz w:val="20"/>
          <w:szCs w:val="20"/>
          <w:color w:val="auto"/>
        </w:rPr>
      </w:pPr>
      <w:r>
        <w:rPr>
          <w:rFonts w:ascii="Arial" w:cs="Arial" w:eastAsia="Arial" w:hAnsi="Arial"/>
          <w:sz w:val="18"/>
          <w:szCs w:val="18"/>
          <w:color w:val="auto"/>
        </w:rPr>
        <w:t>There are no FDA-approved therapeutics for NASH. The FDA has provided draft industry guidance to the industry regarding acceptable development pathways for investigational NASH agents as follows:</w:t>
      </w:r>
    </w:p>
    <w:p>
      <w:pPr>
        <w:spacing w:after="0" w:line="102" w:lineRule="exact"/>
        <w:rPr>
          <w:sz w:val="20"/>
          <w:szCs w:val="20"/>
          <w:color w:val="auto"/>
        </w:rPr>
      </w:pPr>
    </w:p>
    <w:p>
      <w:pPr>
        <w:ind w:left="960" w:right="540" w:hanging="216"/>
        <w:spacing w:after="0" w:line="246"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must be tested in NASH patients, typically characterized as having a NAS of four or greater and at least one point in each component, with F2 or F3 fibrosis;</w:t>
      </w:r>
    </w:p>
    <w:p>
      <w:pPr>
        <w:spacing w:after="0" w:line="102"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an accelerated approval path (Subpart H (drugs)/Subpart E (biologics)), a surrogate endpoint that is “reasonably likely to predict clinical benefit” is acceptable. A subsequent post</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60"/>
          </w:cols>
          <w:pgMar w:left="24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marketing confirmatory outcomes study is then required to be conducted to maintain licensure; and</w:t>
      </w:r>
    </w:p>
    <w:p>
      <w:pPr>
        <w:spacing w:after="0" w:line="117" w:lineRule="exact"/>
        <w:rPr>
          <w:sz w:val="20"/>
          <w:szCs w:val="20"/>
          <w:color w:val="auto"/>
        </w:rPr>
      </w:pPr>
    </w:p>
    <w:p>
      <w:pPr>
        <w:ind w:left="960" w:right="64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 Subpart H/E approval, two biopsy-based surrogate endpoints are endorsed by the FDA, defined as the proportion of patients that achieve:</w:t>
      </w:r>
    </w:p>
    <w:p>
      <w:pPr>
        <w:spacing w:after="0" w:line="102" w:lineRule="exact"/>
        <w:rPr>
          <w:rFonts w:ascii="Arial" w:cs="Arial" w:eastAsia="Arial" w:hAnsi="Arial"/>
          <w:sz w:val="18"/>
          <w:szCs w:val="18"/>
          <w:color w:val="auto"/>
        </w:rPr>
      </w:pPr>
    </w:p>
    <w:p>
      <w:pPr>
        <w:ind w:left="1180" w:right="600" w:hanging="206"/>
        <w:spacing w:after="0" w:line="246" w:lineRule="auto"/>
        <w:tabs>
          <w:tab w:leader="none" w:pos="11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resolution of NASH, defined as a lobular inflammation score = 0 or 1 and a hepatocellular ballooning score = 0, with no worsening of fibrosis; or</w:t>
      </w:r>
    </w:p>
    <w:p>
      <w:pPr>
        <w:spacing w:after="0" w:line="88" w:lineRule="exact"/>
        <w:rPr>
          <w:rFonts w:ascii="Arial" w:cs="Arial" w:eastAsia="Arial" w:hAnsi="Arial"/>
          <w:sz w:val="18"/>
          <w:szCs w:val="18"/>
          <w:color w:val="auto"/>
        </w:rPr>
      </w:pPr>
    </w:p>
    <w:p>
      <w:pPr>
        <w:ind w:left="1180" w:hanging="206"/>
        <w:spacing w:after="0"/>
        <w:tabs>
          <w:tab w:leader="none" w:pos="11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³1 stage improvement in fibrosis with no worsening of NASH.</w:t>
      </w:r>
    </w:p>
    <w:p>
      <w:pPr>
        <w:spacing w:after="0" w:line="239"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We believe many agents in development for NASH will opt for a Subpart H/E pathway and rely on the surrogate endpoints for initial approval. As detailed further below, fibrosis stage is currently the only measurement that is correlated to liver outcomes and therefore, the potential for many agents that will rely only on the resolution of NASH surrogate endpoint to demonstrate clinical benefit will remain uncertain until a confirmatory outcomes study is successfully completed.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Stage of Fibrosis Predictive of Outcomes for NASH Patients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presence of fibrosis is the only factor that is highly predictive in identifying those patients who will progress to cirrhosis. The natural history of NASH is variable from patient to patient and, while the NAS is a valuable tool for diagnosing the disease, it does not appear to be predictive of disease progression. Of the estimated 64 million patients in the United States with NAFLD, approximately 10%– 20% will progress to NASH over time. Of these NASH patients, approximately 10%–15% will progress to cirrhosis by advancing one fibrosis stage every seven years. The mortality rate of NASH patients with fibrosis has been estimated at 1.5%–3.5% per year, largely due to cardiovascular disease, followed by liver-related causes. However, patients with F2 or greater fibrosis stage have a greater chance of liver-related mortality than cardiovascular-related mortality, and each stage of worsening of fibrosis correlates to an exponential increase in liver-related mortality rates. Patients with F3 fibrosis and F4 fibrosis have an approximately 17 times greater risk and 42 times greater risk, respectively, of liver-related mortality than those NASH patients without fibrosis. Therefore, it is expected that treatments that can drive the regression of fibrosis are more likely to have a meaningful impact on clinical outcomes for NASH patients with F2 to F4 fibrosis.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Current Treatments</w:t>
      </w:r>
    </w:p>
    <w:p>
      <w:pPr>
        <w:spacing w:after="0" w:line="122"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Currently, no agents have been approved for the treatment of NASH. Weight loss through diet and lifestyle management is currently considered the first-line treatment strategy for NASH and is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203" w:lineRule="exact"/>
        <w:rPr>
          <w:sz w:val="20"/>
          <w:szCs w:val="20"/>
          <w:color w:val="auto"/>
        </w:rPr>
      </w:pPr>
    </w:p>
    <w:p>
      <w:pPr>
        <w:ind w:left="200" w:right="280" w:firstLine="551"/>
        <w:spacing w:after="0" w:line="239" w:lineRule="auto"/>
        <w:rPr>
          <w:sz w:val="20"/>
          <w:szCs w:val="20"/>
          <w:color w:val="auto"/>
        </w:rPr>
      </w:pPr>
      <w:r>
        <w:rPr>
          <w:rFonts w:ascii="Arial" w:cs="Arial" w:eastAsia="Arial" w:hAnsi="Arial"/>
          <w:sz w:val="18"/>
          <w:szCs w:val="18"/>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Treatments in Development</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While there are many agents in clinical development for NASH, the landscape can be subdivided into a few mechanistic classes based on the putative disease drivers they target. Most treatment approaches for NASH have focused on the prevention or reversal of liver injury either by predominantly treating the metabolic dysregulation of the disease or through directly targeting inflammatory or fibrogenic pathways. NASH is a chronic, slowly progressing disease and, currently, many believe that slowing the progression or reversing disease requires treatment periods of at least 12 months. To attempt to overcome modest individual agent activity, combination therapy is being pursued by some NASH drug developers, on the theory that the complex underlying pathophysiology of NASH will require targeting multiple mechanisms to achieve a sufficient disease-modifying effect to be clinically relevant.</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 Metabolic Approach to Treating NASH</w:t>
      </w:r>
    </w:p>
    <w:p>
      <w:pPr>
        <w:spacing w:after="0" w:line="12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Certain NASH drug development candidates are focused on the metabolic components of the disease, such as insulin resistance and lipotoxicity, that are associated with the inception and early stages of the disease pathology. The rationale for these treatment candidates is based on an expectation that the improvement of the underlying liver insult of metabolic dysregulation will allow the liver to recover over the long-term, which would potentially allow the liver to repair itself and eventually improve fibrosis. Although clinical data for some compounds in this mechanistic class show a beneficial effect on steatosis and an improvement in the NAS, the effect on fibrosis is likely to be highly dependent on the compound being tested. Any of these metabolic-focused compounds that are ultimately approved may be appropriate to halt the progression of disease in earlier-stage NASH patients or used in combination with other agents. Considering the correlation of liver failure outcomes with fibrosis stage, we believe the NASH patients with moderate to advanced fibrosis (F2 to F4) will require a more potent and fast-acting agent to prevent the progression to end-stage liver disease.</w:t>
      </w:r>
    </w:p>
    <w:p>
      <w:pPr>
        <w:spacing w:after="0" w:line="29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an Anti-Inflammatory and/or Anti-Fibrotic Approach to Treating NASH</w:t>
      </w:r>
    </w:p>
    <w:p>
      <w:pPr>
        <w:spacing w:after="0" w:line="122"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Candidates targeting various mechanisms with possible anti-inflammatory and anti-fibrotic effects are also in clinical testing for NASH. These classes of compounds have shown mixed results in meaningfully improving the fibrosis score of patients. Where fibrosis improvements have been shown, results have either been transient or not accompanied by significant improvements in other histological measures of the disease. These classes of compounds have also shown limited ability to improve NASH.</w:t>
      </w:r>
    </w:p>
    <w:p>
      <w:pPr>
        <w:spacing w:after="0" w:line="20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We believe the minimal efficacy on fibrosis improvement and lack of activity on resolving NASH that has been observed to date with anti-inflammatory and anti-fibrotic agents may reflect the difficulty in treating the disease without removing the underlying insult of lipotoxicity, or the challenge of</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impinging on the complex process of hepatocellular death and fibrosis from collagen deposition by intervention through a single pathway.</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with Multiple Mechanisms</w:t>
      </w:r>
    </w:p>
    <w:p>
      <w:pPr>
        <w:spacing w:after="0" w:line="122"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To date, drug candidates with multiple mechanisms of activity have shown the most promising effect on NASH. The FXR agonist, obeticholic acid, or OCA, demonstrated improvements in the NAS and fibrosis but not resolution of NASH as defined by the Phase 2 and Phase 3 study protocols. FXR agonists are known to regulate hundreds of genes, and one of the factors upregulated is FGF19. We believe FGF19 is the primary mediator of the activity of FXR agonists in NASH. FXR agonists are limited, however, in the magnitude of FGF19 levels they can achieve by the boundaries of normal physiology. We believe this limitation to sub-pharmacological levels of FGF19 will limit the ability of FXR agonists to produce a meaningful effect in NASH, in the same way that insulin secretagogues have mild activity compared to insulin itself in treating diabetes. Additionally, treatment with OCA has been associated with pruritus, or whole body itching. There are multiple FXR agonists in preclinical or clinical development seeking to improve on the properties of OCA; however, we believe their activity on NASH will be limited by their inability to sufficiently elevate FGF19 levels over a sustained period of time.</w:t>
      </w:r>
    </w:p>
    <w:p>
      <w:pPr>
        <w:spacing w:after="0" w:line="207"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To our knowledge, we are the only program in clinical development for NASH directly activating the native FGF19 pathway to drive both a regression of fibrosis and resolution of NASH.</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A rapid and potent approach to treating NASH</w:t>
      </w:r>
    </w:p>
    <w:p>
      <w:pPr>
        <w:spacing w:after="0" w:line="122" w:lineRule="exact"/>
        <w:rPr>
          <w:sz w:val="20"/>
          <w:szCs w:val="20"/>
          <w:color w:val="auto"/>
        </w:rPr>
      </w:pPr>
    </w:p>
    <w:p>
      <w:pPr>
        <w:ind w:left="200" w:firstLine="551"/>
        <w:spacing w:after="0" w:line="234" w:lineRule="auto"/>
        <w:rPr>
          <w:sz w:val="20"/>
          <w:szCs w:val="20"/>
          <w:color w:val="auto"/>
        </w:rPr>
      </w:pPr>
      <w:r>
        <w:rPr>
          <w:rFonts w:ascii="Arial" w:cs="Arial" w:eastAsia="Arial" w:hAnsi="Arial"/>
          <w:sz w:val="18"/>
          <w:szCs w:val="18"/>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w:t>
      </w:r>
    </w:p>
    <w:p>
      <w:pPr>
        <w:spacing w:after="0" w:line="3"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400 subjects, including more than 150 NASH patients, and we expect to initiate a Phase 2b clinical trial in NASH patients with F2 and F3 liver fibrosis in mid-2019 and a Phase 2b clinical trial in NASH patients with F4 compensated cirrhosis in the second half of 2019. We obtained Fast Track designation for NGM282 for the treatment of NASH and PBC in adults. See “Government Regulation and Product Approval—Accelerated Approval Requirements.” NGM282 is wholly-owned, and it is not subject to our collaboration with Merck.</w:t>
      </w:r>
    </w:p>
    <w:p>
      <w:pPr>
        <w:spacing w:after="0" w:line="202"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In a recent study, gastric bypass surgery has led to a resolution of NASH in approximately 80% of patients studied. We initially identified FGF19 using our rodent gastric bypass surgery model that was designed to discover hormones that may drive the beneficial metabolic effects observed following this type of surgery. We also demonstrated that serum levels of FGF19 are significantly increased in humans after gastric bypass surgery. FGF19 acts as an endocrine hormone to regulate systemic carbohydrate and energy homeostasis, similar to insulin, and also inhibit the production of bile acids in the liver. Systemic FGF19 levels are decreased in patients with NASH, type 2 diabetes or metabolic syndrome, and are normalized after gastric bypass surgery in diabetic human subjects.</w:t>
      </w:r>
    </w:p>
    <w:p>
      <w:pPr>
        <w:spacing w:after="0" w:line="205"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spectrum of activities ascribed to FGF19 appear to be mediated primarily through two different receptor complexes: FGFR4/KLB and FGFR1c/KLB. FGFR4/KLB receptor complexes are found primarily in the liver and FGFR1c/KLB receptor complexes are found primarily in adipose tissue and the central nervous system. When activated, FGFR4/KLB inhibits the expression of the cholesterol 7alpha-hydroxylase 1, or CYP7A1, gene, which modulates bile acid production through the classical pathway in the liver. There is increasing evidence supporting the role of bile acids as a pathophysiological driver of NASH. Individuals with NASH are reported to have elevated hepatic and circulating concentrations of bile acids, as well as increased concentrations of fecal and urine bile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 xml:space="preserve">acids. As NASH patients progress to F2 and F3 fibrosis stages, serum levels of bile acids double as compared to healthy volunteers. Furthermore, serum levels of FGF19 are increasingly depressed as fibrosis levels increase in NASH patients as compared to healthy volunteers. A combination of activities from FGFR4/KLB and FGFR1c/KLB are believed to promote multiple beneficial metabolic effects in the liver and systemically, including improved insulin sensitization, a reduction in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lipogenesis and an increase in fatty acid oxidation.</w:t>
      </w:r>
    </w:p>
    <w:p>
      <w:pPr>
        <w:spacing w:after="0" w:line="203"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We designed NGM282 as an analog of human FGF19 to improve the drug-like properties of the protein, remove a tumorigenic signal observed in rodents and retain the beneficial properties of triggering the FGFR4/KLB and FGFR1c/KLB pathways. We believe this tandem receptor-complex activation enables an improvement in the metabolic function of the liver and reduction in bile acid synthesis, which, in turn, enables NGM282 to have a more rapid and direct impact on fibrosis as compared to other agents that only address the metabolic dysfunction of NASH,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146050</wp:posOffset>
            </wp:positionV>
            <wp:extent cx="4948555" cy="3404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4855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Extensive Clinical Experience with NGM282</w:t>
      </w:r>
    </w:p>
    <w:p>
      <w:pPr>
        <w:spacing w:after="0" w:line="12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Our clinical development program for NGM282 was designed to first assess safety and tolerability of the agent and then test for activity in humans in a variety of disease settings we believed may benefit from the signaling activity of the FGF19 pathway. Each of these trials has provided insights into the agent’s activity in humans and informed our development plans for NASH. A consistent profile of activity and tolerability has emerged for the compound across these studies.</w:t>
      </w:r>
    </w:p>
    <w:p>
      <w:pPr>
        <w:spacing w:after="0" w:line="202" w:lineRule="exact"/>
        <w:rPr>
          <w:sz w:val="20"/>
          <w:szCs w:val="20"/>
          <w:color w:val="auto"/>
        </w:rPr>
      </w:pPr>
    </w:p>
    <w:p>
      <w:pPr>
        <w:ind w:left="200" w:right="140" w:firstLine="551"/>
        <w:spacing w:after="0" w:line="261" w:lineRule="auto"/>
        <w:rPr>
          <w:sz w:val="20"/>
          <w:szCs w:val="20"/>
          <w:color w:val="auto"/>
        </w:rPr>
      </w:pPr>
      <w:r>
        <w:rPr>
          <w:rFonts w:ascii="Arial" w:cs="Arial" w:eastAsia="Arial" w:hAnsi="Arial"/>
          <w:sz w:val="17"/>
          <w:szCs w:val="17"/>
          <w:color w:val="auto"/>
        </w:rPr>
        <w:t>After a Phase 1 clinical trial to assess safety and tolerability, we conducted a Phase 2 clinical trial in type 2 diabetes patients to assess the impact of NGM282 on insulin resistance and blood glucose levels. Although they were not histologically confirmed for NASH, the characteristics of many of the patients enrolled in this study are consistent with a population of presumptive NASH patients as they</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60"/>
          </w:cols>
          <w:pgMar w:left="24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demonstrated many of the hallmarks of NASH, including elevated levels of the liver transaminases known as alanine transaminase, or ALT, and aspartate transaminase, or AST. This trial validated the metabolic pathways of the drug by demonstrating improvements in many metabolic parameters across the patient population, but did not result in significant blood glucose lowering after 28 days of treatment. A consistent improvement in ALT and AST was observed for patients on treatment with NGM282, which suggested the agent was having a beneficial effect on liver health and, therefore, could have application in the treatment of NASH.</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have also explored the utility of NGM282-mediated bile acid synthesis inhibition in two cholestatic diseases, primary biliary cholangitis, or PBC, and primary sclerosing cholangitits, or PSC, but have decided not to pursue further development of NGM282 in these diseases at this time. Although we do not currently intend to pursue NGM282 for the treatment of PBC or PSC, we previously obtained orphan drug designations for NGM282 for the treatment of PBC in adults in the United States and PBC and PSC in adults in the European Union. See “Government Regulation and Product Approval—Orphan Drug Designation.” Both of these conditions are believed to have a strong bile acid component underlying the disease. NGM282 achieved a significant reduction in alkaline phosphatase, or ALP, an FDA-validated biomarker of disease in PBC, however, we determined the once -daily injectable nature of the product and competitive landscape compared to other development paths for the drug was not optimal. Similarly, in PSC, NGM282 treatment resulted in sustained reductions in a biomarker of fibrogenesis (PRO-C3), although there was no benefit in the primary endpoint of the trial, ALP. The FDA has not provided guidance on a development path for PSC that does not involve ALP and, therefore, we have determined not to move forward in this indication until a clear path is defined. Notably, PSC patients have a normal liver fat content level and the indication of fibrosis improvement in this population supports a role for the activity of a bile acid inhibitor, such as NGM282, as an anti-fibrotic in the liver.</w:t>
      </w:r>
    </w:p>
    <w:p>
      <w:pPr>
        <w:spacing w:after="0" w:line="205" w:lineRule="exact"/>
        <w:rPr>
          <w:sz w:val="20"/>
          <w:szCs w:val="20"/>
          <w:color w:val="auto"/>
        </w:rPr>
      </w:pPr>
    </w:p>
    <w:p>
      <w:pPr>
        <w:ind w:left="200" w:right="260" w:firstLine="551"/>
        <w:spacing w:after="0" w:line="238" w:lineRule="auto"/>
        <w:rPr>
          <w:sz w:val="20"/>
          <w:szCs w:val="20"/>
          <w:color w:val="auto"/>
        </w:rPr>
      </w:pPr>
      <w:r>
        <w:rPr>
          <w:rFonts w:ascii="Arial" w:cs="Arial" w:eastAsia="Arial" w:hAnsi="Arial"/>
          <w:sz w:val="18"/>
          <w:szCs w:val="18"/>
          <w:color w:val="auto"/>
        </w:rPr>
        <w:t>A consistent tolerability observation across each trial has been dose-dependent gastrointestinal, or GI, adverse events that manifest in both the upper and lower GI tract. We conducted a Phase 1b trial in patients with chronic constipation and determined that NGM282 has a pro-kinetic effect on the GI tract, which means the increase in stool frequency is caused by greater GI motility and is not related to elevated fecal fat or elevated bile acid content. These results have helped inform mitigation protocols to help patients lessen these GI side effects.</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Trial in NASH Patients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Phase 2 clinical trial in patients with histologically-confirmed NASH was comprised of an initial double-blind placebo-controlled cohort (cohort 1), followed by a series of adaptive, open-label, single-blind cohorts (cohorts 2 and 3). We are also currently enrolling an additional expansion cohort (cohort 4) under this study to test NGM282 in a double blind, placebo-controlled setting with liver biopsies at baseline and following 24 weeks of treatment. Cohort 1 was designed to measure liver fat content by magnetic resonance imaging proton density fat fraction, or MRI-PDFF, and serum biomarker data at 12 weeks. This portion of the study generated distinct signals of therapeutic benefit and appropriate tolerability characteristics, which subsequently informed the adaptive cohorts 2 and 3. The open-label, single-blind cohorts (cohorts 2 and 3) were designed to explore additional dose levels of NGM282, as well as confirm the impact of NGM282 on liver histology, as defined by improvements in fibrosis and NAS. Additionally, the protocol was amended to study statin use for those patients that experienced a low density lipoprotein, or LDL, cholesterol increase during the first two weeks of NGM282 treatment, as further described below.</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999"/>
        <w:spacing w:after="0"/>
        <w:rPr>
          <w:sz w:val="20"/>
          <w:szCs w:val="20"/>
          <w:color w:val="auto"/>
        </w:rPr>
      </w:pPr>
      <w:r>
        <w:rPr>
          <w:rFonts w:ascii="Arial" w:cs="Arial" w:eastAsia="Arial" w:hAnsi="Arial"/>
          <w:sz w:val="18"/>
          <w:szCs w:val="18"/>
          <w:b w:val="1"/>
          <w:bCs w:val="1"/>
          <w:u w:val="single" w:color="auto"/>
          <w:color w:val="auto"/>
        </w:rPr>
        <w:t>Components of the NGM282 Phase 2 Clinical Trial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166370</wp:posOffset>
            </wp:positionV>
            <wp:extent cx="5213985" cy="22040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459" w:right="1440"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NGM282 activity has been measured across a variety of imaging and serum biomarker measures, or non-invasive measures, as well as histological measures in order to provide a comprehensive assessment of the drug’s activity on NASH disease pathology. For each of cohorts 1, 2 and 3, the primary endpoint was the absolute change from baseline to week 12 in liver fat content. Responders were defined as patients who achieved a 5% or larger reduction in absolute liver fat content, or LFC, as measured by MRI-PDFF. Key secondary endpoints included assessments of the safety and tolerability, percentage change from baseline (or relative change) in absolute LFC, normalization of LFC to less than 5% and changes from baseline and normalization in ALT and AST. Exploratory endpoints included the evaluation of biomarkers of NASH pathogenesis and fibrosis, as well as assessment of changes in liver histology in a sub -population of patients (3 mg dose group in cohort 2 and 1 mg dose group in cohort 3). The table below summarizes the preliminary data generated to date and demonstrates the consistent effect across each of the non-invasive measure of NASH in each of cohorts 1, 2 and 3 of our Phase 2 clinical trial, followed by a matrix explaining the significance of each of the metrics and biopsy measurements:</w:t>
      </w:r>
    </w:p>
    <w:p>
      <w:pPr>
        <w:spacing w:after="0" w:line="185" w:lineRule="exact"/>
        <w:rPr>
          <w:sz w:val="20"/>
          <w:szCs w:val="20"/>
          <w:color w:val="auto"/>
        </w:rPr>
      </w:pPr>
    </w:p>
    <w:p>
      <w:pPr>
        <w:ind w:left="2000"/>
        <w:spacing w:after="0"/>
        <w:rPr>
          <w:sz w:val="20"/>
          <w:szCs w:val="20"/>
          <w:color w:val="auto"/>
        </w:rPr>
      </w:pPr>
      <w:r>
        <w:rPr>
          <w:rFonts w:ascii="Arial" w:cs="Arial" w:eastAsia="Arial" w:hAnsi="Arial"/>
          <w:sz w:val="18"/>
          <w:szCs w:val="18"/>
          <w:b w:val="1"/>
          <w:bCs w:val="1"/>
          <w:u w:val="single" w:color="auto"/>
          <w:color w:val="auto"/>
        </w:rPr>
        <w:t>NGM282 Significantly Impacts Key Parameters Consistent with Improvements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166370</wp:posOffset>
            </wp:positionV>
            <wp:extent cx="5213985" cy="41852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A description of the key non-invasive and histological measurements collected in our NASH Phase 2 clinical trial is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142875</wp:posOffset>
            </wp:positionV>
            <wp:extent cx="5213985" cy="18783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398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Cohorts 2 and 3, summarized in more detail below, included patients who received liver biopsies after 12 weeks of treatment with either 1 mg or 3 mg of daily NGM282 to enable an assessment of any improvements in histological measures of NASH, such as fibrosis. Preliminary data from both the 3 mg dose group of cohort 2 and the 1 mg dose group of cohort 3 demonstrated that NGM282 has an impact on fibrosis regression in NASH subjects, with 42% and 25%, respectively, registering at least a one-stage improvement in fibrosis. We believe these histology results offer compelling support for NGM282’s potential as a rapidly-acting agent for NASH patients with moderate to advanced fibrosis.</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1</w:t>
      </w:r>
    </w:p>
    <w:p>
      <w:pPr>
        <w:spacing w:after="0" w:line="122" w:lineRule="exact"/>
        <w:rPr>
          <w:sz w:val="20"/>
          <w:szCs w:val="20"/>
          <w:color w:val="auto"/>
        </w:rPr>
      </w:pPr>
    </w:p>
    <w:p>
      <w:pPr>
        <w:ind w:left="200" w:right="160" w:firstLine="551"/>
        <w:spacing w:after="0" w:line="243" w:lineRule="auto"/>
        <w:rPr>
          <w:sz w:val="20"/>
          <w:szCs w:val="20"/>
          <w:color w:val="auto"/>
        </w:rPr>
      </w:pPr>
      <w:r>
        <w:rPr>
          <w:rFonts w:ascii="Arial" w:cs="Arial" w:eastAsia="Arial" w:hAnsi="Arial"/>
          <w:sz w:val="18"/>
          <w:szCs w:val="18"/>
          <w:color w:val="auto"/>
        </w:rPr>
        <w:t>In the double-blind cohort of the Phase 2 clinical trial (cohort 1), 82 subjects with biopsy-confirmed NASH were randomized to NGM282 clinical doses of 3 mg or 6 mg (n = 55) or placebo (n = 27), administered as a daily subcutaneous injection for 12 weeks. Histologic inclusion criteria included biopsy-proven NASH with a NAS ³ 4 (at least 1 point in each component), F1 to F3 fibrosis and ³ 8% LFC.</w:t>
      </w:r>
    </w:p>
    <w:p>
      <w:pPr>
        <w:spacing w:after="0" w:line="184"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color w:val="auto"/>
        </w:rPr>
        <w:t xml:space="preserve">As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2018, significant reductions in absolute and relative LFC were seen with both doses, with 79% of the 6 mg-treated subjects and 74% of the 3 mg-treated subjects meeting the primary endpoint of ³ 5% reduction in absolute LFC as measured by MRI-PDFF. There was no significant difference in absolute LFC reduction between the 3 mg and 6 mg doses. Normalization of absolute LFC (defined as </w:t>
      </w:r>
      <w:r>
        <w:rPr>
          <w:rFonts w:ascii="Arial" w:cs="Arial" w:eastAsia="Arial" w:hAnsi="Arial"/>
          <w:sz w:val="18"/>
          <w:szCs w:val="18"/>
          <w:u w:val="single" w:color="auto"/>
          <w:color w:val="auto"/>
        </w:rPr>
        <w:t>&lt;</w:t>
      </w:r>
      <w:r>
        <w:rPr>
          <w:rFonts w:ascii="Arial" w:cs="Arial" w:eastAsia="Arial" w:hAnsi="Arial"/>
          <w:sz w:val="18"/>
          <w:szCs w:val="18"/>
          <w:color w:val="auto"/>
        </w:rPr>
        <w:t xml:space="preserve"> 5% measured by MRI-PDFF) was observed in 26% and 39% of subjects treated with 3 mg and 6 mg, respectively, at week 12. Over 85% of NGM282 treated subjects achieved a decrease in relative LFC of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which has been correlated to improvements in histology in several studies. These results were maintained across key baseline characteristics of gender (male </w:t>
      </w:r>
      <w:r>
        <w:rPr>
          <w:rFonts w:ascii="Arial" w:cs="Arial" w:eastAsia="Arial" w:hAnsi="Arial"/>
          <w:sz w:val="18"/>
          <w:szCs w:val="18"/>
          <w:i w:val="1"/>
          <w:iCs w:val="1"/>
          <w:color w:val="auto"/>
        </w:rPr>
        <w:t>vs</w:t>
      </w:r>
      <w:r>
        <w:rPr>
          <w:rFonts w:ascii="Arial" w:cs="Arial" w:eastAsia="Arial" w:hAnsi="Arial"/>
          <w:sz w:val="18"/>
          <w:szCs w:val="18"/>
          <w:color w:val="auto"/>
        </w:rPr>
        <w:t xml:space="preserve">. female), ethnicity (Hispanic </w:t>
      </w:r>
      <w:r>
        <w:rPr>
          <w:rFonts w:ascii="Arial" w:cs="Arial" w:eastAsia="Arial" w:hAnsi="Arial"/>
          <w:sz w:val="18"/>
          <w:szCs w:val="18"/>
          <w:i w:val="1"/>
          <w:iCs w:val="1"/>
          <w:color w:val="auto"/>
        </w:rPr>
        <w:t>vs</w:t>
      </w:r>
      <w:r>
        <w:rPr>
          <w:rFonts w:ascii="Arial" w:cs="Arial" w:eastAsia="Arial" w:hAnsi="Arial"/>
          <w:sz w:val="18"/>
          <w:szCs w:val="18"/>
          <w:color w:val="auto"/>
        </w:rPr>
        <w:t xml:space="preserve">. Non-Hispanic), diabetic status, ALT levels (&lt; </w:t>
      </w:r>
      <w:r>
        <w:rPr>
          <w:rFonts w:ascii="Arial" w:cs="Arial" w:eastAsia="Arial" w:hAnsi="Arial"/>
          <w:sz w:val="18"/>
          <w:szCs w:val="18"/>
          <w:i w:val="1"/>
          <w:iCs w:val="1"/>
          <w:color w:val="auto"/>
        </w:rPr>
        <w:t>vs</w:t>
      </w:r>
      <w:r>
        <w:rPr>
          <w:rFonts w:ascii="Arial" w:cs="Arial" w:eastAsia="Arial" w:hAnsi="Arial"/>
          <w:sz w:val="18"/>
          <w:szCs w:val="18"/>
          <w:color w:val="auto"/>
        </w:rPr>
        <w:t xml:space="preserve">. &gt; 40 U/L), body mass index, or BMI, (&lt; </w:t>
      </w:r>
      <w:r>
        <w:rPr>
          <w:rFonts w:ascii="Arial" w:cs="Arial" w:eastAsia="Arial" w:hAnsi="Arial"/>
          <w:sz w:val="18"/>
          <w:szCs w:val="18"/>
          <w:i w:val="1"/>
          <w:iCs w:val="1"/>
          <w:color w:val="auto"/>
        </w:rPr>
        <w:t>vs</w:t>
      </w:r>
      <w:r>
        <w:rPr>
          <w:rFonts w:ascii="Arial" w:cs="Arial" w:eastAsia="Arial" w:hAnsi="Arial"/>
          <w:sz w:val="18"/>
          <w:szCs w:val="18"/>
          <w:color w:val="auto"/>
        </w:rPr>
        <w:t xml:space="preserve">.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fibrosis stage (F1 </w:t>
      </w:r>
      <w:r>
        <w:rPr>
          <w:rFonts w:ascii="Arial" w:cs="Arial" w:eastAsia="Arial" w:hAnsi="Arial"/>
          <w:sz w:val="18"/>
          <w:szCs w:val="18"/>
          <w:i w:val="1"/>
          <w:iCs w:val="1"/>
          <w:color w:val="auto"/>
        </w:rPr>
        <w:t>vs</w:t>
      </w:r>
      <w:r>
        <w:rPr>
          <w:rFonts w:ascii="Arial" w:cs="Arial" w:eastAsia="Arial" w:hAnsi="Arial"/>
          <w:sz w:val="18"/>
          <w:szCs w:val="18"/>
          <w:color w:val="auto"/>
        </w:rPr>
        <w:t>. F2/F3) and statin use, with no significant difference in any sub-category.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-151130</wp:posOffset>
            </wp:positionV>
            <wp:extent cx="984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8425" cy="8890"/>
                    </a:xfrm>
                    <a:prstGeom prst="rect">
                      <a:avLst/>
                    </a:prstGeom>
                    <a:noFill/>
                  </pic:spPr>
                </pic:pic>
              </a:graphicData>
            </a:graphic>
          </wp:anchor>
        </w:drawing>
      </w:r>
    </w:p>
    <w:p>
      <w:pPr>
        <w:spacing w:after="0" w:line="185"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Greater reductions from baseline in mean absolute ALT levels were observed for both NGM282 3 mg (-35 international units, or IU, p&lt;0.0001) and 6 mg (-32 IU, p&lt;0.0001) clinical doses at week 12 as compared with placebo. The p-value is a measure that states the probability that a comparable or better result would be produced purely by chance. A p-value of less than 0.05 means that if the drug was only as effective as the placebo, there would be less than a 5% chance that a comparable or better result would be produced purely by chance. Differences with a p-value of less than 0.05 are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generally considered statistically significant, indicating a high degree of confidence that the result is due to therapy with the drug and not due to chance. This decrease in ALT levels achieved statistical significance as early as week one, with a sustained reduction throughout the entire 12-week study treatment period. The mean relative percentage decreases in ALT levels from baseline to week 12 were also significant in both the doses, ranging from 43% to 44% (p&lt;0.001). ALT levels achieved normalization (defined as &lt;19 IU in females and &lt; 30 IU in males) in 24% of NGM282-treated patients by week 2 and 36% of treated subjects by week 12. Similarly, treatment with NGM282 resulted in significant mean absolute reductions in AST levels from baseline to week 12 as compared with placebo, with the majority of subjects decreasing below 40 IU as early as two weeks after starting treatment.</w:t>
      </w:r>
    </w:p>
    <w:p>
      <w:pPr>
        <w:spacing w:after="0" w:line="190"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7a-hydroxy-4-cholesten-3-one, or C4, is an intermediate in the classical bile acid synthesis pathway that is produced by the rate-limiting enzyme, CYP7A1. When activated, FGFR4 leads to a reduction in serum C4 levels. C4 levels were measured in patients to track target engagement by NGM282 and to determine how levels of C4 correspond to measures of therapeutic effect, such as reductions in liver transaminase levels. At both the 3 mg and 6 mg dose levels, serum concentrations of C4 were significantly reduced relative to placebo after one week of treatment, with more than 65% of patients at or below the limit of detection in the C4 assay. Levels of liver ALT and AST released from injured or dead hepatocytes are significantly elevated in NASH patients and can be measured as serum biomarkers of liver health. Reductions in serum levels of ALT and AST follow a similar time course as C4 reduction. We believe the potent and sustained inhibitory effect that NGM282 has on the classical bile acid synthesis pathway is important to achieving its therapeutic effect. FXR agonists can only elevate FGF19 to the upper end of normal physiological levels, which we believe is insufficient to achieve the complete and sustained inhibition of the classical bile acid pathway.</w:t>
      </w:r>
    </w:p>
    <w:p>
      <w:pPr>
        <w:spacing w:after="0" w:line="208" w:lineRule="exact"/>
        <w:rPr>
          <w:sz w:val="20"/>
          <w:szCs w:val="20"/>
          <w:color w:val="auto"/>
        </w:rPr>
      </w:pPr>
    </w:p>
    <w:p>
      <w:pPr>
        <w:ind w:left="200" w:right="20" w:firstLine="551"/>
        <w:spacing w:after="0" w:line="241" w:lineRule="auto"/>
        <w:rPr>
          <w:sz w:val="20"/>
          <w:szCs w:val="20"/>
          <w:color w:val="auto"/>
        </w:rPr>
      </w:pPr>
      <w:r>
        <w:rPr>
          <w:rFonts w:ascii="Arial" w:cs="Arial" w:eastAsia="Arial" w:hAnsi="Arial"/>
          <w:sz w:val="18"/>
          <w:szCs w:val="18"/>
          <w:color w:val="auto"/>
        </w:rPr>
        <w:t>PRO-C3 levels, as well as levels of propeptide of type III procollagen, or PIIINP, and TIMP metallopeptidase inhibitor 1, or TIMP-1, which are components of the Enhanced Liver Fibrosis, or ELF, score, were reduced in the treated subjects, supporting a potential anti-fibrotic effect. Notably, more than 74% of NGM282-treated subjects achieved a reduction in PRO-C3 levels of ³15% at 12 weeks, as compared to 24% of placebo-treated subjects. The overall ELF score for the 3 mg- and 6 mg-treated subjects was reduced by an average of 0.3 and 0.2, respectively, compared to no change for the placebo group.</w:t>
      </w:r>
    </w:p>
    <w:p>
      <w:pPr>
        <w:spacing w:after="0" w:line="203"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Triglyceride level decreases were consistent with FGFR1c/KLB activity triggered by NGM282, while significant LDL cholesterol increases reflect potent FGFR4/KLB-mediated CYP7A1 inhibition. There were highly significant correlations between decreases in LFC and reductions in the serum levels of ALT, AST and C4.</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and 3 Imaging and Biomarker Results</w:t>
      </w:r>
    </w:p>
    <w:p>
      <w:pPr>
        <w:spacing w:after="0" w:line="122"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Based on the profound impact seen with NGM282 in NASH patients across the measured non-invasive parameters assessed in cohort 1, an adaptive, open-label, single-blind cohort of three dosing groups known as cohort 2 was added to evaluate: 1) lower doses of NGM282 (0.3 and 1 mg); 2) histologic response at 12 weeks in a 3 mg dose group; and 3) the ability of concomitant statin use to mitigate drug-induced LDL cholesterol elevations. Additional MRI-PDFF images were collected at week 6 to further assess the potential for LFC responses at an earlier point in time and to evaluate the persistence of response at week 18 (six weeks after the end of treatment). The demographics and baseline patient characteristics of cohort 2 were similar to those in cohort 1. Preliminary data for the 3 mg dose in Cohort 2 and 1 mg dose in Cohort 3 include only those patients who completed treatment with paired biopsies at baseline and week 12. Preliminary data from cohort 2 demonstrates that a significant amount of the decrease in LFC occurs by week 6 and further consolidates towards normalization at week 12 in the 1 mg and 3 mg dosing groups. The 1 mg and 3 mg dose groups in</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24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cohort 2 showed similar reductions of LFC and ALT levels, and were consistent with the week 12 changes observed with the 3 mg dose in cohort 1. Serum levels of C4 were significantly decreased at week 12, with the 3 mg dose group demonstrating reduction of 93% from baseline (p&lt;0.0001). Preliminary data from cohort 2 indicates that the 1 mg and 3 mg dose groups also had statistically significant reductions from baseline in PRO-C3 levels (-4.7 and -11.1 ng/ml, respectively, p&lt;0.05) and PIIINP (-2.0 and -3.3 ng/ml, respectively, p&lt;0.001) and TIMP-1 (-33.1 and -42.7 ng/ml, respectively, p&lt;0.05) components of the ELF score at week 12. The 0.3 mg dose group in cohort 2 demonstrated a reduced treatment response overall as compared to the 1 mg and 3 mg cohorts, based on the reductions in LFC, levels of ALT and the fibrosis markers. Preliminary data indicates that, six weeks after the end of NGM282 treatment, the relative levels of LFC and ALT levels remained suppressed, with reductions approximately 20% to 39% and 18% to 44% below baseline levels across doses evaluated in cohorts 2 and 3, respectively. Similarly, reductions in PRO-C3 levels and ELF score components in NGM282-treated patients were sustained six weeks after the end of NGM282 treatment.</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(3 mg) and Cohort 3 Preliminary Histology Results</w:t>
      </w:r>
    </w:p>
    <w:p>
      <w:pPr>
        <w:spacing w:after="0" w:line="122" w:lineRule="exact"/>
        <w:rPr>
          <w:sz w:val="20"/>
          <w:szCs w:val="20"/>
          <w:color w:val="auto"/>
        </w:rPr>
      </w:pPr>
    </w:p>
    <w:p>
      <w:pPr>
        <w:ind w:left="200" w:right="180" w:firstLine="551"/>
        <w:spacing w:after="0" w:line="234" w:lineRule="auto"/>
        <w:rPr>
          <w:sz w:val="20"/>
          <w:szCs w:val="20"/>
          <w:color w:val="auto"/>
        </w:rPr>
      </w:pPr>
      <w:r>
        <w:rPr>
          <w:rFonts w:ascii="Arial" w:cs="Arial" w:eastAsia="Arial" w:hAnsi="Arial"/>
          <w:sz w:val="18"/>
          <w:szCs w:val="18"/>
          <w:color w:val="auto"/>
        </w:rPr>
        <w:t>Liver histology was evaluated at 12 weeks in the 3 mg dosing group of cohort 2 and in the 1 mg dosing group of cohort 3. Each of these cohorts enrolled primarily NASH patients with moderate to advanced fibrosis. Eighty-four percent of the 19 patients in the 3 mg dosing arm of cohort 2 had been diagnosed with F2 or worse fibrosis at baseline. Eighty-three percent of the 24 patients in cohort 3 had</w:t>
      </w:r>
    </w:p>
    <w:p>
      <w:pPr>
        <w:spacing w:after="0" w:line="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F2 or worse fibrosis at baseline. Liver biopsies at baseline and 12 weeks were blinded by both patient and treatment sequence. They were subsequently read by a central independent liver hepatopathologist using the NASH CRN criteria. Preliminary data from cohorts 2 and 3 showed improvements in fibrosis scores in both groups, with 42% of patients in the 3 mg dosing group of cohort 2 and 25% of the patients in cohort 3 improving by at least one stage, and a mean change of -0.5 and -0.1 fibrosis stage, respectively. All of the patients experiencing improvements in fibrosis scores were F2 or worse at baseline. Between the two cohorts, a total of four patients achieved a two stage improvement in fibrosis during the 12 weeks of treatment (three in the 3 mg dosing group of cohort 2 and one in cohort 3). There were two subjects in the 3 mg dosing group of cohort 2 who worsened by one stage in fibrosis (Stage 1b to 2 and Stage 3 to 4), with no substantive worsening of their NAS and reductions in LFC and ALT. Four patients in cohort 3 worsened by one stage in fibrosis. While each cohort involved a relatively small number of patients, these preliminary results demonstrated, for the first time, the possibility of improving fibrosis in F2 to F4 NASH subjects in as early as 12 weeks of treatment with a therapeutic agent. In addition, the patients with fibrosis improvements also had a mean reduction in NAS of 3.5 and 3.2 in the 3 mg dosing group of cohort 2 and cohort 3, respectively.</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At 12 weeks, NGM282 treatment resulted in resolution of NASH, defined as having a lobular inflammation score of 0 or 1 and a hepatocellular ballooning score of 0, with no worsening of fibrosis in two patients in the 3 mg dosing arm of cohort 2 and three patients in cohort 3. Furthermore, 58% and 50% of patients achieved NAS improvements of two points or greater (with at least one-point reduction in lobular inflammation or hepatocellular ballooning) in the 3 mg dosing arm of cohort 2 and cohort 3, respectively. We anticipate that an increased proportion of patients could achieve resolution of NASH over a longer treatment duration beyond 12 weeks. In conjunction with the fibrosis improvement described above, these data support the notion that NGM282, as a single agent, has the potential to improve NASH and fibrosis to a larger degree and in a shorter period of time than other investigative agents have demonstrated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146685</wp:posOffset>
            </wp:positionV>
            <wp:extent cx="4639310" cy="26244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3931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Increases in Serum Levels of LDL Cholesterol in NASH Patients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 byproduct of NGM282’s potent inhibition of the classical bile acid synthesis pathway is the elevation of LDL cholesterol in the serum. Cholesterol serves as the precursor molecule in a multi-step enzymatic pathway that generates various forms of bile acids. CYP7A1 is the rate-limiting enzyme in this pathway and, therefore, serves as a regulatory control point for the primary pathway for bile acid synthesis, also known as the classical pathway. Notably, there is an alternative pathway for bile acid synthesis that is not regulated by CYP7A1 activity and produces a subset of the bile acid pool that is believed to produce less caustic varieties of bile. We believe a primary role of FGF19 and NGM282 is to inhibit bile acid synthesis through the classical pathway by activating a signaling cascade that shuts down CYP7A1 activity. As a direct effect of this on-target activity, cellular cholesterol is no longer metabolized to bile acids and is instead shunted into the blood stream, causing an elevation of serum LDL cholesterol. We have not observed the same magnitude of LDL cholesterol elevations with NGM282 in trials we have conducted in cholestatic disease patients, such as PBC and PSC.</w:t>
      </w:r>
    </w:p>
    <w:p>
      <w:pPr>
        <w:spacing w:after="0" w:line="207"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We believe elevated serum LDL cholesterol is a confirmatory indication of NGM282 and FGF19 activity in NASH patients, which correlates with its beneficial effects on liver health. The impact of these drug-induced changes in cholesterol are unknown. Sustained LDL cholesterol elevations in untreated patients, however, are associated with cardiovascular disease through atherosclerotic plaque development. Through both preclinical studies in cynomologous monkeys and in cohorts 2 and 3 of our Phase 2 clinical trial, we have demonstrated the ability of concomitant statin use to mitigate the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serum LDL cholesterol elevations driven by NGM282 activity. The figure below illustrates the mean LDL cholesterol levels over time for patients in cohort 2. Per protocol, the patients’ LDL cholesterol levels were measured at baseline and then re-measured after two weeks of NGM282 treatment. If an elevation of LDL cholesterol of at least 10 mg/dl was recorded, patients were directed to take 20 mg of rosuvastatin daily for the remainder of the trial. Nearly all of the treated patients required statin use in cohorts 2 and 3. Where required, patients were elevated to 40 mg rosuvastatin to adequately control their LDL cholesterol while on treatment. Notably, approximately 80% of cohort 2 and 87% of cohort 3 at enrollment were not previously receiving statin treatment and, on average, the cohorts had baseline LDL cholesterol levels at or above recommended levels recommended by the American Association of Clinical Endocrinologists and the European Society of Cardiology/European Atherosclerotic Society, suggesting a statin would already be prescribed as standard of care. For each dose level in cohorts 2 and 3, concomitant statin use mitigated the drug-induced LDL cholesterol rise indicative of CYP7A1 suppression and, in many cases, brought patients below their baseline levels. Additionally, we have investigated the composition of the drug-induced LDL cholesterol particles. This analysis indicated that the NGM282-induced serum LDL cholesterol manifests as large and potentially less atherogenic lipoproteins, as opposed to the small dense lipoparticles that are thought to be more atherogenic. We believe concomitant statin use, along with NGM282’s triglyceride lowering and high density lipoprotein, or HDL, cholesterol elevating properties, will provide an overall neutral to positive impact on patients’ cardiovascular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146685</wp:posOffset>
            </wp:positionV>
            <wp:extent cx="5213985" cy="21526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Phase 2 Clinical Trial in NASH: Safety and Tolerability Profile</w:t>
      </w:r>
    </w:p>
    <w:p>
      <w:pPr>
        <w:spacing w:after="0" w:line="12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most common adverse events in cohorts 1, 2 and 3 included increased stool frequency, loose stools, nausea and injection site erythema, with the majority being Grade 1 (mild). A single serious adverse event of acute pancreatitis was reported in cohort 1 and assessed as possibly related to study drug. A total of seven serious adverse events (pleurisy, vertigo, headache, hypertension, cardiac arrest, chest pain and pneumonia), none of which were considered related to study drug, were reported in five subjects in cohort 2. One serious adverse event (kidney mass) was reported in cohort 3 and was not considered related to study drug. Preliminary data indicates that there were no tolerability signals identified in this population. The tolerability in cohorts 1, 2 and 3 was consistent with that observed in other study populations, including type 2 diabetes, PBC and PSC.</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Future Clinical Development Plans</w:t>
      </w:r>
    </w:p>
    <w:p>
      <w:pPr>
        <w:spacing w:after="0" w:line="122"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In addition to our ongoing cohort 4, we are planning to begin, in mid-2019, a Phase 2b clinical trial that will test three dose levels of NGM282 in NASH patients with F2 and F3 fibrosis. The Phase 2b</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clinical trial will be a multi-center, double-blind, placebo-controlled study administering 0.3 mg, 1 mg or 3 mg of NGM282 or placebo, once daily, subcutaneously for 24 weeks. We expect approximately 150 patients will be enrolled across 30 sites in the United States. Patients will receive liver biopsies to qualify for the trial and at end of treatment. The primary objective of this 24-week trial will be to measure the treatment effect of NGM282 dosing on liver histology according to preliminary FDA recommended Phase 3 endpoints of resolution of NASH with no worsening of fibrosis, and fibrosis improvement with no worsening of NASH, as defined above. Enrollment criteria, study design and study conduct will be consistent with the FDA draft industry guidance regarding the development of drugs for NASH that was distributed in December 2018.</w:t>
      </w:r>
    </w:p>
    <w:p>
      <w:pPr>
        <w:spacing w:after="0" w:line="20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Our development strategy is to generate interim results of our 24-week double-blind, placebo-controlled cohort 4 trial in 2019 and leverage these results to inform Phase 3 planning and design. We expect that Phase 2b clinical trial results in 2020 will provide further information to compile a detailed package for the regulatory agencies to support a pivotal, single dose level, Phase 3 program to enable a BLA filing.</w:t>
      </w:r>
    </w:p>
    <w:p>
      <w:pPr>
        <w:spacing w:after="0" w:line="20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We are also planning to initiate a clinical program testing NGM282 in a population of NASH patients with compensated cirrhosis in 2019. The objective of this trial is to evaluate whether the fibrosis regression and NAS improvements we have observed in patients with F2 and F3 fibrosis can also be achieved in early, or compensated, cirrhotic NASH patients, for which liver mortality rates are high and liver transplant is the only option. In 2030, the population of compensated cirrhotic NASH patients in the United States and EU is expected to reach 4.9 million.</w:t>
      </w:r>
    </w:p>
    <w:p>
      <w:pPr>
        <w:spacing w:after="0" w:line="203"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We believe the totality of the data produced by these Phase 2 clinical trials will provide insights required to appropriately design Phase 3 clinical trials required for drug approval and optimally position the therapeutic in the market.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Future Commercial Positioning of NGM282 as a Therapeutic in the NASH Market</w:t>
      </w:r>
    </w:p>
    <w:p>
      <w:pPr>
        <w:spacing w:after="0" w:line="122"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We believe the clinical data produced with NGM282 in NASH patients to date suggests a potential drug profile that is unique in the current landscape of NASH therapeutics in development. Our preliminary data suggests NGM282 is capable of improving fibrosis in patients after only 12 weeks of treatment, while also exerting a positive impact on the other parameters of NASH, including steatosis, lobular inflammation and hepatocellular ballooning. We believe that NGM282’s initial signals of activity observed after 12 weeks of treatment with NGM282, while significant in effect, will lead to further improvement after 24 weeks of treatment. In particular, we believe NAS and fibrosis improvement are enabled by the liver’s natural regenerative properties once the multiple insults of toxic fatty and bile acids are diminished. Our clinical results have shown that markers of liver steatosis and inflammation are reduced in a broad set of patients in the first few weeks of treatment. After only 12 weeks, this environment has allowed the liver to begin healing, but patient healing rates may vary and we believe the process has not reached its full potential. These properties are in contrast to other agents in development that, after 24 weeks or longer treatment, have either only shown impact on NAS components or a modest effect on fibrosis, and may have tolerability or safety issues.</w:t>
      </w:r>
    </w:p>
    <w:p>
      <w:pPr>
        <w:spacing w:after="0" w:line="206"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If our initial signals of activity continue in later-stage clinical development, we believe that NGM282, as a once-daily injectable medication, will be well suited to treat NASH patients with F2, F3 and, potentially, early F4 fibrosis. Together, these target patient populations were believed to encompass approximately 6.7 million patients in the United States alone in 2015, and are expected to grow to 14.1 million by 2030. As diagrammed below, our goal is to position NGM282, if approved, to physicians as a potent, rapidly-acting medication that can repair NASH-damaged livers to avoid progression to end-stage liver disease and liver transplantation. This advanced disease population is typically under the care of hepatologists, as contrasted with the typically asymptomatic early-stage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NASH population, the majority of whom have not yet been diagnosed. We expect other agents in development, many of which are delivered orally, will serve a complementary role in the treatment of earlier-stage disease or may ultimately require combination treatment with other mechanisms to have an improved effect over its single-agent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146685</wp:posOffset>
            </wp:positionV>
            <wp:extent cx="5213985" cy="2452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Commercial Product Development and Life-cycle Management</w:t>
      </w:r>
    </w:p>
    <w:p>
      <w:pPr>
        <w:spacing w:after="0" w:line="12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drug product format of NGM282 for our clinical trials to date has been a pre-filled single-use glass syringe. Our manufacturing group is developing a formulation of the agent to enable testing a more commercially-attractive format in the form of a multi-use pen injector, similar to the devices currently delivering injectable type 2 diabetes treatments. We expect that the multi-dose pen format could be available for product launch, if the agent is approved. Our objective is to present a multi-dose pen with needle gauge 29 or smaller, which will be familiar to the large number of NASH patients with type 2 diabetes who also require injections of insulin or GLP-1 products.</w:t>
      </w:r>
    </w:p>
    <w:p>
      <w:pPr>
        <w:spacing w:after="0" w:line="95" w:lineRule="exact"/>
        <w:rPr>
          <w:sz w:val="20"/>
          <w:szCs w:val="20"/>
          <w:color w:val="auto"/>
        </w:rPr>
      </w:pPr>
    </w:p>
    <w:p>
      <w:pPr>
        <w:jc w:val="both"/>
        <w:ind w:left="200" w:right="320" w:firstLine="551"/>
        <w:spacing w:after="0"/>
        <w:rPr>
          <w:sz w:val="20"/>
          <w:szCs w:val="20"/>
          <w:color w:val="auto"/>
        </w:rPr>
      </w:pPr>
      <w:r>
        <w:rPr>
          <w:rFonts w:ascii="Arial" w:cs="Arial" w:eastAsia="Arial" w:hAnsi="Arial"/>
          <w:sz w:val="18"/>
          <w:szCs w:val="18"/>
          <w:color w:val="auto"/>
        </w:rPr>
        <w:t>Longer term, we are pursuing a life -cycle management strategy to develop a longer half-life version of NGM282 that will require less frequent dosing. At present, we have programs investigating delayed-release technologies and protein modification to support this strategy. These efforts are currently at the research stage.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Early NGM282 Clinical Development and Preclinical Development</w:t>
      </w:r>
    </w:p>
    <w:p>
      <w:pPr>
        <w:spacing w:after="0" w:line="122" w:lineRule="exact"/>
        <w:rPr>
          <w:sz w:val="20"/>
          <w:szCs w:val="20"/>
          <w:color w:val="auto"/>
        </w:rPr>
      </w:pPr>
    </w:p>
    <w:p>
      <w:pPr>
        <w:jc w:val="both"/>
        <w:ind w:left="200" w:right="220" w:firstLine="551"/>
        <w:spacing w:after="0"/>
        <w:rPr>
          <w:sz w:val="20"/>
          <w:szCs w:val="20"/>
          <w:color w:val="auto"/>
        </w:rPr>
      </w:pPr>
      <w:r>
        <w:rPr>
          <w:rFonts w:ascii="Arial" w:cs="Arial" w:eastAsia="Arial" w:hAnsi="Arial"/>
          <w:sz w:val="18"/>
          <w:szCs w:val="18"/>
          <w:color w:val="auto"/>
        </w:rPr>
        <w:t>Our development program for NGM282 in NASH has been informed by several precursor and parallel clinical studies, as well as preclinical findings in a variety of NASH animal models. In all clinical trials, NGM282 had an acceptable tolerability profile. A summary of the studies conducted with NGM282 are listed below:</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w:t>
      </w:r>
    </w:p>
    <w:p>
      <w:pPr>
        <w:spacing w:after="0" w:line="122"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We conducted a Phase 1 randomized, double-blind, placebo-controlled, single ascending dose, or SAD, and multiple ascending dose, or MAD, study to evaluate the safety, tolerability and pharmacokinetics of NGM282 in healthy adult participants.</w:t>
      </w:r>
    </w:p>
    <w:p>
      <w:pPr>
        <w:spacing w:after="0" w:line="197"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Our Phase 1 clinical trial with NGM282, which is emblematic of our overall drug discovery approach in that we design early clinical trials to assess the translatability of preclinical studies to</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humans, demonstrated a favorable tolerability profile, with signs of biological activity consistent with FGF19-like activity related to FGFR1c and FGFR4 signaling, suggesting potential utility as a treatment for NASH.</w:t>
      </w:r>
    </w:p>
    <w:p>
      <w:pPr>
        <w:spacing w:after="0" w:line="197"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In this blinded, placebo-controlled, Phase 1 clinical trial, 119 overweight or obese but otherwise healthy adults were randomized to receive NGM282 or placebo as a daily subcutaneous injection in escalating doses. A rapid and dose-proportional reduction of serum C4 concentrations indicated that NGM282 has a statistically significant effect on bile acid synthesis at the 0.3 mg, 1 mg and 3 mg doses. A mean reduction of approximately 94% in serum C4 concentrations was noted at 3 mg when compared with pre-dose levels. This rapid reduction in C4 levels supports the potential biological activity of NGM282 as an inhibitor of CYP7A1-mediated bile acid synthesis.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146685</wp:posOffset>
            </wp:positionV>
            <wp:extent cx="5196840" cy="21266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9684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Laboratory analysis of blood samples collected from subjects receiving NGM282 in the Phase 1 MAD trial showed that administration of the drug for seven days was associated with statistically significant reductions in triglyceride levels at doses of 1 mg and greater (-55, -50, -68 and -89 mg/d, respectively, for the 1, 3, 10 and 20 mg dose groups: p&lt;0.05), and a statistically significant increase in total cholesterol concentrations (12, 40, 22 and 24 mg/d, respectively, for the 1, 3, 10 and 20 mg dose groups: p&lt;0.05).</w:t>
      </w:r>
    </w:p>
    <w:p>
      <w:pPr>
        <w:spacing w:after="0" w:line="202"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In both the SAD and MAD trials, NGM282 was well tolerated and exhibited approximately linear pharmacokinetics with no immunogenicity. There were no serious adverse events. The most frequently observed adverse events were diarrhea, vomiting, nausea and injection site reactions. Also, there were no laboratory changes in NGM282-treated subjects that would indicate an abnormality in any organ system, as determined by the Safety Data Monitoring Committee for the study, nor were anti-drug antibodies, or ADAs, observed.</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2a Clinical Trial (Type 2 Diabetes)</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conducted a 28-day, randomized, double-blind, multi-center trial to evaluate NGM282 in subjects with type 2 diabetes that were inadequately controlled by metformin. As a consequence of the contribution of obesity and insulin resistance to both conditions, there is a substantial overlap in the prevalence of type 2 diabetes and NASH patients. The type 2 diabetes trial was also designed to measure several of the metabolic parameters that are believed to play a role in the disease progression of NAFLD and NASH, including indicators of insulin sensitivity, triglyceride levels and liver transaminases, such as ALT and AST, enzyme levels. Three doses of NGM282 were tested to assess changes from baseline in biochemical markers associated with type 2 diabetes, such as fasting plasma glucose and stimulated glucose/insulin.</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primary endpoint measured by this trial was the change in fasting plasma glucose after 28 days of treatment. Although this endpoint was not different in the NGM282 subjects as compared to the control arm, there were trends towards improvement in insulin sensitivity, as measured by HOMA-IR, and a statistically significant weight loss observed in the 10 mg group, which lost an average of 2.6 kilograms over the 28 days of treatment (p&lt;0.05). Moreover, there was a statistically significant reduction in triglyceride concentrations with the 2 mg (p&lt;0.001) and 10 mg (p&lt;0.001) doses, and dose-dependent reductions in ALT and AST levels, consistent with improvements in liver health. However, as this trial did not meet its primary endpoint, we decided not to pursue development of NGM282 in type 2 diabetes. The trial did establish that NGM282 demonstrated improvements in both metabolic and liver health in a patient population that closely resembles NASH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149860</wp:posOffset>
            </wp:positionV>
            <wp:extent cx="4999990" cy="2109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9999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Overall, NGM282 was well-tolerated at each dose. There were no serious adverse events reported, though nine subjects withdrew due to adverse events. The most frequently observed adverse events were GI side effects, which were primarily loose stools/diarrhea, nausea and injection site reactions. One subject developed antibodies against NGM282 that appear to cross-react with FGF19. This subject did not demonstrate any biochemical or clinical safety concerns while in the study, and we have not identified any safety concerns while monitoring the subject following the study.</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Trials in Cholestatic Diseases: PBC and PSC</w:t>
      </w:r>
    </w:p>
    <w:p>
      <w:pPr>
        <w:spacing w:after="0" w:line="122"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We conducted an exploratory Phase 2a clinical trial in PBC patients testing daily subcutaneous injections of NGM282 for 28 days, and followed it with a 52-week extension study to assess longer-term safety and tolerability of daily NGM282. While both doses tested in the 28-day study met the primary endpoint of a statistically significant reduction in ALP levels (a validated surrogate endpoint by the FDA), we determined that, with two oral alternatives on the market with similar efficacy, the indication was not well-suited for NGM282.</w:t>
      </w:r>
    </w:p>
    <w:p>
      <w:pPr>
        <w:spacing w:after="0" w:line="20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NGM282 was well tolerated at each dose and showed no evidence of drug-induced pruritus. The majority of adverse events were mild or moderate. In the 28-day study, one subject reported a serious adverse event (dizziness) deemed unrelated to drug. In the 52-week extension study, three subjects reported a total of five serious adverse events: community acquired pneumonia, iron deficiency anemia (2) and fractured finger, all deemed unrelated to study drug; and pneumonitis/alveolitis, which was considered unlikely related to study drug. A statistically significant elevation of LDL cholesterol concentration was not observed in this patient population.</w:t>
      </w:r>
    </w:p>
    <w:p>
      <w:pPr>
        <w:spacing w:after="0" w:line="203"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We also conducted an exploratory Phase 2 clinical trial in PSC patients with NGM282. Unlike PBC, there are currently no approved medications for PSC and, similarly, there are no validated clinical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endpoints accepted by the FDA for approval. NGM282 did not achieve the primary endpoint in the study, which was a statistically significant reduction in ALP levels at the end of treatment. While ALP concentration has also been viewed as a possible surrogate endpoint in PSC, the correlation with disease progression is not as clear as in PBC, and the FDA is developing guidance to drug developers as to an acceptable path to approval. We do not intend to further develop NGM282 in PSC until a development path is more specifically defined in the indication. However, the results of the study also provide utility in understanding the mechanism of NGM282 across the diseases tested. Notably, PRO-C3 and ELF levels, which are markers of fibrosis, improved significantly in the treatment group, suggesting that NGM282 may also have a direct impact on fibrosis that is independent from its metabolic activity, as the PSC patient population does not have elevated liver fat content. Furthermore, a statistically significant elevation of LDL cholesterol concentration was not observed in this patient population.</w:t>
      </w:r>
    </w:p>
    <w:p>
      <w:pPr>
        <w:spacing w:after="0" w:line="207" w:lineRule="exact"/>
        <w:rPr>
          <w:sz w:val="20"/>
          <w:szCs w:val="20"/>
          <w:color w:val="auto"/>
        </w:rPr>
      </w:pPr>
    </w:p>
    <w:p>
      <w:pPr>
        <w:jc w:val="both"/>
        <w:ind w:left="200" w:right="120" w:firstLine="551"/>
        <w:spacing w:after="0"/>
        <w:rPr>
          <w:sz w:val="20"/>
          <w:szCs w:val="20"/>
          <w:color w:val="auto"/>
        </w:rPr>
      </w:pPr>
      <w:r>
        <w:rPr>
          <w:rFonts w:ascii="Arial" w:cs="Arial" w:eastAsia="Arial" w:hAnsi="Arial"/>
          <w:sz w:val="18"/>
          <w:szCs w:val="18"/>
          <w:color w:val="auto"/>
        </w:rPr>
        <w:t>The majority of adverse events were mild or moderate and resolved on treatment. Five total serious adverse events were reported in three subjects: increased bilirubin, cholangitis, PSC progression and intervertebral discitis, deemed unrelated to study drug; and bowel obstruction, deemed possibly related to NGM282 treatment.</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 in GI Motility</w:t>
      </w:r>
    </w:p>
    <w:p>
      <w:pPr>
        <w:spacing w:after="0" w:line="122"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A consistent finding in our Phase 2 clinical trials has been an association of NGM282 to dose-related abdominal cramping and increased stool frequency. To further investigate and characterize these gastrointestinal effects, we conducted a randomized, placebo-controlled, 14-day study in patients with functional constipation that tested two doses of NGM282, 1 mg once daily and 6 mg once daily. The objective of the study was to evaluate the effects of NGM282 on colonic transit, stool frequency and consistency, hepatic bile acid synthesis, fecal fat and bile acid levels. Thirty-one patients with functional constipation were randomized on a 1:1:1 basis to placebo (n=10), 1 mg NGM282 (n=10) and 6 mg NGM282 (n=11) arm. Participants underwent tests measuring baseline colonic transit at 24 hours, baseline 48-hour stool fat and bile acid measurement after eating a high fat diet for four days. Patients then received once-daily treatment with NGM282 or placebo for 14 days with transit measurements and fecal fat and bile acid content collected during the last week of the study. Four patients discontinued the trial in the 6 mg cohort (three due to diarrhea and one due to injection site reactions) and no patients discontinued treatment in the placebo or 1 mg NGM282 cohorts. Overall, NGM282 altered bowel function in this group of chronic constipation subjects through increased frequency of bowel movements, looser stool form and increased ease of passage, and significantly accelerated gastric and colonic transit. There were no significant differences in fecal fat or weight between the placebo and treatment groups, suggesting that GI effects of NGM282 are not secondary to an increase in fecal fat. We believe the results of this study show that GI side effects are primarily due to increased colonic motility, rather than increased small bowel or colonic secretion, the latter of which is more characteristic of diarrhea than loose stools. We have applied this mechanistic understanding to our clinical trial by suggesting that subjects time their dosing around meals and moderate the size of a meal in proximity to dose. While the GI side effects of NGM282 are consistent through the clinical studies conducted to date, we have observed that those patients on 3 mg and lower doses that do experience GI side effects generally report mild to moderate effects that resolve on treatment and do not lead to discontinuation of the drug.</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Engineered to Create a Non-tumorigenic Form of FGF19</w:t>
      </w:r>
    </w:p>
    <w:p>
      <w:pPr>
        <w:spacing w:after="0" w:line="104" w:lineRule="exact"/>
        <w:rPr>
          <w:sz w:val="20"/>
          <w:szCs w:val="20"/>
          <w:color w:val="auto"/>
        </w:rPr>
      </w:pPr>
    </w:p>
    <w:p>
      <w:pPr>
        <w:ind w:left="200" w:right="300" w:firstLine="551"/>
        <w:spacing w:after="0" w:line="272" w:lineRule="auto"/>
        <w:rPr>
          <w:sz w:val="20"/>
          <w:szCs w:val="20"/>
          <w:color w:val="auto"/>
        </w:rPr>
      </w:pPr>
      <w:r>
        <w:rPr>
          <w:rFonts w:ascii="Arial" w:cs="Arial" w:eastAsia="Arial" w:hAnsi="Arial"/>
          <w:sz w:val="17"/>
          <w:szCs w:val="17"/>
          <w:color w:val="auto"/>
        </w:rPr>
        <w:t xml:space="preserve">Human FGF19 is only about 50% identical to its mouse ortholog, known as FGF15.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have shown that transgenic mice expressing the human FGF19 hormone at proportionally greater levels than levels expressed in healthy humans develop HCC. NGM282 is a variant of FGF19, engineered to remove the tumorigenic properties of human FGF19 in mice while retaining its beneficial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 xml:space="preserve">effects. Prior to designating NGM282 for development, we carried out an extensive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analysis of the structure-function relationship to define the domains in FGF19 responsible for its various activities. Our goal was to identify a variant of human FGF19 that was non-tumorigenic in mice but that retained maximal activity against both the FGFR1c/KLB and FGFR4/KLB receptor complexes so that full metabolic and bile acid effects would be maintained. We designed and evaluated over 150 FGF19 variants to identify compounds with the desired profile. NGM282 is approximately 95% identical to the naturally-occurring human FGF19, with three amino acid substitutions and a five-amino acid deletion from the amino terminus.</w:t>
      </w:r>
    </w:p>
    <w:p>
      <w:pPr>
        <w:spacing w:after="0" w:line="202"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 xml:space="preserve">NGM282 retains the metabolic activity of FGF19 through the FGFR1c/KLB receptor complex and the bile acid activity of FGF19 through the FGFR4/KLB receptor complex. Importantly, NGM282 is a biased ligand of FGFR4, meaning that it selectively activates signaling through the FGFR4/KLB receptor complex in a manner that retains beneficial activity on bile acid production but does not cause HCC in mice, as shown in three different models of oncogenic potential. Furthermore, co-administration of NGM282 and FGF19 via gene delivery in a </w:t>
      </w:r>
      <w:r>
        <w:rPr>
          <w:rFonts w:ascii="Arial" w:cs="Arial" w:eastAsia="Arial" w:hAnsi="Arial"/>
          <w:sz w:val="18"/>
          <w:szCs w:val="18"/>
          <w:i w:val="1"/>
          <w:iCs w:val="1"/>
          <w:color w:val="auto"/>
        </w:rPr>
        <w:t>db/db</w:t>
      </w:r>
      <w:r>
        <w:rPr>
          <w:rFonts w:ascii="Arial" w:cs="Arial" w:eastAsia="Arial" w:hAnsi="Arial"/>
          <w:sz w:val="18"/>
          <w:szCs w:val="18"/>
          <w:color w:val="auto"/>
        </w:rPr>
        <w:t xml:space="preserve"> mouse model eliminated the expected FGF19-driven HCC, suggesting that NGM282 blocked the ability of FGF19 to occupy the relevant receptor and signal in such a way as to cause HCC. We have also explored the biological mechanism that drives the FGF19 oncogenic signal in mice and have determined that the interleukin-6, or IL-6/STAT3 axis is essential for the activity. The elements of the IL-6/STAT3 axis that drive the FGF19 oncogenic signal in mice are not activated with NGM282.</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NGM282’s Therapeutic Potential Supported by Preclinical Animal Models of NASH</w:t>
      </w:r>
    </w:p>
    <w:p>
      <w:pPr>
        <w:spacing w:after="0" w:line="122"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We have assessed the therapeutic potential of NGM282 in multiple animal models of NASH and have observed a consistent pattern of disease prevention and improvement. The animal models in which we have tested NGM282 and the corresponding results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146685</wp:posOffset>
            </wp:positionV>
            <wp:extent cx="3996055" cy="25984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9605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200" w:right="100" w:firstLine="551"/>
        <w:spacing w:after="0" w:line="239" w:lineRule="auto"/>
        <w:rPr>
          <w:sz w:val="20"/>
          <w:szCs w:val="20"/>
          <w:color w:val="auto"/>
        </w:rPr>
      </w:pPr>
      <w:r>
        <w:rPr>
          <w:rFonts w:ascii="Arial" w:cs="Arial" w:eastAsia="Arial" w:hAnsi="Arial"/>
          <w:sz w:val="18"/>
          <w:szCs w:val="18"/>
          <w:color w:val="auto"/>
        </w:rPr>
        <w:t>In addition to testing NGM282 in these animal models of NASH, we tested a variant of FGF19 that only activates FGFR4 and does not activate FGFR1c. The purpose of creating this variant was to develop a tool by which we could understand the relative contribution of FGFR4 and FGFR1c signaling to the therapeutic effects of FGF19. In the diet-induced, high fat, high fructose, high cholesterol, or HFFC, mouse model of NASH, study animals were administered viral vectors expressing either: (1) an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analog of FGF19 that activates both FGFR4 and FGFR1c signaling; (2) an analog of FGF19 that activates only FGFR4 signaling; or (3) a control protein, green fluorescent protein, or GFP. After 24 weeks of treatment, the degree of liver fibrosis was compared across the study groups by means of Sirius red staining, which is a common method of identifying fibrosis. The results demonstrated that the mice that received the analog of FGF19 that activated only FGFR4 showed nearly as much fibrosis improvement compared to the compound that activated both FGFR4 and FGFR1c.</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believe these preclinical results show that inhibiting bile acid synthesis through the FGFR4 pathway enables NGM282 to have a more rapid and direct impact on fibrosis as compared to other agents that only address the metabolic dysfunction of NASH. These data, now further supported by our Phase 2 results in biopsy-confirmed NASH patients, show the spectrum of activity enabled by mimicking the native FGF19 hormone at pharmacological levels has a potent therapeutic benefit on multiple disease drivers of NASH.</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NGM313: An Insulin Sensitizer for the Treatment of Type 2 Diabetes and NASH</w:t>
      </w:r>
    </w:p>
    <w:p>
      <w:pPr>
        <w:spacing w:after="0" w:line="126"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NGM313, also known as MK-3655, is a proprietary, agonistic antibody selectively activating FGFR1c/KLB that we believe has the potential to be a once-monthly injectable insulin sensitizer for the treatment of NASH and type 2 diabetes. In November 2018, Merck exercised its option for a license to further research, develop and commercialize NGM313 and other FGFR1c/KLB agonists pursuant to our collaboration agreement. In Phase 1 clinical testing, NGM313 has demonstrated favorable tolerability and preliminary data has shown the agent is capable of reducing liver fat content and improving metabolic biomarkers in obese insulin resistant subjects with NAFLD after a single dose. We believe that NGM313 has the potential to be a treatment for those patients with NASH with early to moderate fibrosis with or without type 2 diabetes.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Type 2 Diabetes</w:t>
      </w:r>
    </w:p>
    <w:p>
      <w:pPr>
        <w:spacing w:after="0" w:line="12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Type 2 diabetes is a common co-morbidity of obesity and NAFLD, and a disease in which the concentration of blood sugar is elevated due to an imbalance of insulin production from insulin secreting beta cells in the pancreas and insulin action at the tissue level, known as insulin resistance, causing damage to small and large blood vessels and, potentially, leading to blindness, amputation and kidney disease along with an increased risk of heart attack, stroke and premature death. In type 2 diabetes, the body’s tissues become resistant to the effects of insulin over time, requiring the pancreas to produce an unsustainably large amount of insulin to compensate. The growing epidemic of obesity is driving an increasing number of diabetes sufferers, as there is a close relationship between increasing BMI and the relative risk of developing type 2 diabetes.</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According to the Centers for Disease Control and Prevention, or CDC, in 2015, an estimated 30 million people in the United States had diabetes, with 1.5 million new cases being added every year. Over 80 million people in the United States are pre-diabetic, the majority of whom are expected to become diabetic in the next ten years. The medical costs of treating the diabetic patient population in the United States alone are believed to be $ 327 billion in 2017. Given the large patient population and high unmet need, pharmaceutical companies have developed multiple classes of therapies. The most recent classes include GLP-1 analogs, SGLT2 inhibitors and DPP-IV inhibitors, which, according to EvaluatePharma, collectively sold over $21 billion worldwide in 2017 and are expected to sell as much as $33 billion by 2022. According to EvaluatePharma, insulin, for which the recombinant human version was first introduced in 1982, and insulin analogues sold approximately $21 billion in 2017 worldwide.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currently available types of treatments include:</w:t>
      </w:r>
    </w:p>
    <w:p>
      <w:pPr>
        <w:spacing w:after="0" w:line="117" w:lineRule="exact"/>
        <w:rPr>
          <w:sz w:val="20"/>
          <w:szCs w:val="20"/>
          <w:color w:val="auto"/>
        </w:rPr>
      </w:pPr>
    </w:p>
    <w:p>
      <w:pPr>
        <w:ind w:left="960" w:right="180" w:hanging="216"/>
        <w:spacing w:after="0" w:line="246"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various forms of insulin replacement therapies and agents to stimulate insulin secretion, whereby the insulin levels are boosted to help decrease blood glucose levels, including recombinant insulin, sulfonylureas and meglitinides;</w:t>
      </w:r>
    </w:p>
    <w:p>
      <w:pPr>
        <w:spacing w:after="0" w:line="102" w:lineRule="exact"/>
        <w:rPr>
          <w:rFonts w:ascii="Arial" w:cs="Arial" w:eastAsia="Arial" w:hAnsi="Arial"/>
          <w:sz w:val="18"/>
          <w:szCs w:val="18"/>
          <w:color w:val="auto"/>
        </w:rPr>
      </w:pPr>
    </w:p>
    <w:p>
      <w:pPr>
        <w:ind w:left="960" w:right="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agents that inhibit the absorption of glucose in the gut, increase the excretion of glucose in the kidney and/or decrease the production of glucose in the liver, thereby reducing blood glucose levels, including alpha-glucosidase inhibitors, SGLT2 inhibitors and biguanides, like metformin;</w:t>
      </w:r>
    </w:p>
    <w:p>
      <w:pPr>
        <w:spacing w:after="0" w:line="108"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drugs that produce a combination of insulin boosting and glucose absorption-inhibiting activity, including incretins like GLP-1 analogs, and DPP-IV inhibitors; and</w:t>
      </w:r>
    </w:p>
    <w:p>
      <w:pPr>
        <w:spacing w:after="0" w:line="102"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drugs that increase the body’s sensitivity to insulin, thereby making the insulin present in the blood have a more potent effect on lowering blood glucose, which currently consists of thiazolidinediones, or TZDs.</w:t>
      </w:r>
    </w:p>
    <w:p>
      <w:pPr>
        <w:spacing w:after="0" w:line="197"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The majority of patients with type 2 diabetes are insulin resistant and have associated metabolic dysregulation caused by lipid abnormalities, fatty liver, hypertension and chronic vascular inflammation. Insulin resistance and beta cell dysfunction are interrelated pathogenic states that lead to persistent hyperglycemia and development of type 2 diabetes. Insulin resistance results from defective insulin signaling in glucose recipient tissues and the persistent elevation of glucose concentrations above the physiological range, leading to increased insulin demand. Beta cell dysfunction, resulting from inadequate glucose sensing to stimulate insulin secretion, is compounded by insulin resistance and also induces hyperglycemia in patients with type 2 diabetes. Preserving beta cell function and insulin signaling in type 2 diabetes patients remain an unmet medical need as persistent hyperglycemia leads to continued progression of diabetes. Even with the multiple classes of diabetes drugs available, only about one-half of patients with diabetes achieve their glycemic goal.</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Insulin Sensitizers for the Treatment of Type 2 Diabetes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Insulin resistant patients that remain inadequately controlled often have NAFLD, low HDL cholesterol level and increased waist circumference, and are likely the best candidates for treatment with insulin sensitizers. TZDs, such as pioglitazone and rosiglitazone, are a notable class of drugs that function as insulin sensitizers to potentiate the effect of insulin, improving glycemic control and dyslipidemia and, therefore, providing a valuable addition to diabetes therapy. As a monotherapy, pioglitazone improves the sensitivity of hepatic and peripheral tissue to insulin, increases insulin-dependent glucose disposal, enhances cellular responsiveness to insulin and, thus, improves dysfunction in glucose homeostasis. This decreased insulin resistance results in a durable lowering of blood glucose, insulin and hemoglobin A1c, or HbA1c levels. However, the clinical use of TZDs has been limited by the risk of adverse events, including congestive heart failure, for which there is a FDA boxed warning, weight gain, peripheral edema/fluid retention, bone fractures and an association with bladder cancer for pioglitazone.</w:t>
      </w:r>
    </w:p>
    <w:p>
      <w:pPr>
        <w:spacing w:after="0" w:line="207"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We believe the introduction of an insulin sensitizer without the adverse effects and safety profile of the TZDs would provide a meaningful addition as combination therapy with incretins, with the goal of normalizing glucose levels in patients with type 2 diabetes. While numerous new drug classes are available, none target insulin resistance nor have the potential to resolve persistent hyperglycemia when used in combination with other available diabetes treatments.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Insulin Sensitizers for the Treatment of NASH</w:t>
      </w:r>
    </w:p>
    <w:p>
      <w:pPr>
        <w:spacing w:after="0" w:line="122"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Insulin resistance has been implicated as a key condition leading to hepatic steatosis and, subsequently, NASH. Activation of the immune system contributes to the development of insulin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53" w:lineRule="auto"/>
        <w:rPr>
          <w:sz w:val="20"/>
          <w:szCs w:val="20"/>
          <w:color w:val="auto"/>
        </w:rPr>
      </w:pPr>
      <w:r>
        <w:rPr>
          <w:rFonts w:ascii="Arial" w:cs="Arial" w:eastAsia="Arial" w:hAnsi="Arial"/>
          <w:sz w:val="17"/>
          <w:szCs w:val="17"/>
          <w:color w:val="auto"/>
        </w:rPr>
        <w:t>resistant adipocytes that release excessive amounts of free fatty acids and cause insulin resistance and lipoapoptosis in peripheral tissues, including the liver, muscle and pancreatic beta cells. Increased hepatic triglyceride synthesis and accumulation of triglyceride-derived toxic lipid metabolites activates intracellular inflammatory pathways within hepatocytes, Kupffer and other immune cells. The subsequent activation of hepatic stellate cells leads to collagen deposition, fibrosis development and, eventually, cirrhosis of the liver. Treatments that can rescue the liver from lipotoxicity, in particular the effects of free fatty acids, by restoring peripheral tissue insulin sensitivity and/or preventing activation of inflammatory pathways and oxidative stress, hold promise for the treatment of NASH.</w:t>
      </w:r>
    </w:p>
    <w:p>
      <w:pPr>
        <w:spacing w:after="0" w:line="195" w:lineRule="exact"/>
        <w:rPr>
          <w:sz w:val="20"/>
          <w:szCs w:val="20"/>
          <w:color w:val="auto"/>
        </w:rPr>
      </w:pPr>
    </w:p>
    <w:p>
      <w:pPr>
        <w:jc w:val="both"/>
        <w:ind w:left="200" w:right="100" w:firstLine="551"/>
        <w:spacing w:after="0" w:line="239" w:lineRule="auto"/>
        <w:rPr>
          <w:sz w:val="20"/>
          <w:szCs w:val="20"/>
          <w:color w:val="auto"/>
        </w:rPr>
      </w:pPr>
      <w:r>
        <w:rPr>
          <w:rFonts w:ascii="Arial" w:cs="Arial" w:eastAsia="Arial" w:hAnsi="Arial"/>
          <w:sz w:val="18"/>
          <w:szCs w:val="18"/>
          <w:color w:val="auto"/>
        </w:rPr>
        <w:t>An estimated 65% of type 2 diabetes patients have NASH. The presence of diabetes is associated with worse liver disease and, in patients with NAFLD and NASH, type 2 diabetes is associated with more severe hepatic and adipose tissue insulin resistance, and more advanced liver steatosis, inflammation and fibrosis by liver histology. In addition, administration of insulin may increase steatosis, making the treatment of patients with type 2 diabetes and NASH challenging.</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role of insulin resistance and hyperglycemia in the pathogenesis of NAFLD suggests that improving insulin sensitivity and normalizing glucose levels could prevent the development of NASH and progression of disease. It is inconclusive whether current drugs for the treatment of diabetes, such as metformin, DPP-IV inhibitors, SGLT2 inhibitors and GLP-1 agonists, are effective for the treatment of NASH and, for some, if histological benefit is observed, it is unclear whether the effect is related to the concomitant weight loss with treatment. Proof-of-concept studies with an insulin sensitizer, pioglitazone, whose main target at the molecular level is PPAR-gamma in adipose tissue, have shown that treatment after six months, as compared to placebo, resulted in statistically significant improvements in histological findings associated with NASH, with reductions in steatosis, hepatocellular ballooning and lobular inflammation. Fibrosis scores improved significantly relative to baseline in the pioglitazone group, however, the change from baseline did not differ significantly between the placebo and pioglitazone groups after six months of treatment. Pioglitazone treatment increased hepatic insulin sensitivity and glucose clearance, which led to significant reductions in plasma free fatty acids, glucose and insulin levels in NASH patients.</w:t>
      </w:r>
    </w:p>
    <w:p>
      <w:pPr>
        <w:spacing w:after="0" w:line="207"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With approximately 17.5 million patients in the United States with type 2 diabetes and NASH, there exists a substantial unmet medical need for a single treatment that addresses pathophysiological states common to both diseases, including insulin resistance, lipid metabolism dysfunction and increased lipotoxicity at the level of the liver. To date, of the FDA approved anti-diabetes drugs on the market, only pioglitazone and liraglutide have demonstrated a benefit on components of the NAS in controlled studies on patients with NASH. We believe NGM313 has the potential as an insulin sensitizer for use as monotherapy or in combination with other drug classes, like GLP-1 analogs, to halt the progression of, and potentially reverse, diabetes and NASH.</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NGM313 Mechanism of Action</w:t>
      </w:r>
    </w:p>
    <w:p>
      <w:pPr>
        <w:spacing w:after="0" w:line="122"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NGM313 is a humanized monoclonal agonistic antibody, with the potential for once-monthly dosing, that binds to a unique epitope of KLB, resulting in the selective activation of FGFR1c and signaling through the metabolic pathway utilized by FGF21-based ligand therapies. FGF21 is a protein hormone that is secreted by the liver, adipocytes, pancreas and skeletal muscle. In animal testing, FGF21 plays a role in fasting and starvation by acting on adipose, or fat, cells to increase energy expenditure by stimulating glucose uptake. Notably, the effect of FGF21 on glucose uptake is additive to, but not synergistic with, insulin. Unlike insulin, the response of fat cells to FGF21 requires prolonged exposure to this hormone. Moreover, FGF21 acts to lower plasma triglyceride levels over an extended period. FGF21 also protects animals from diet-induced obesity when overexpressed in transgenic mice and lowers blood glucose and triglyceride levels when administered to diabetic rodents.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FGF21 exerts its effects on metabolic processes by signaling through the receptors known as FGFR1c, FGFR2c and FGFR3c, but not the receptor known as FGFR4. KLB functions as a co-receptor to enhance the binding of these receptors and is essential for mediating FGF21 activity. FGF receptors are expressed on cells in many tissue types, but KLB is mainly expressed in fat cells and other tissues, such as the pancreas and liver.</w:t>
      </w:r>
    </w:p>
    <w:p>
      <w:pPr>
        <w:spacing w:after="0" w:line="20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FGF21-based therapeutics have generated interest in the pharmaceutical research and development community because they represent a novel approach to treating multiple aspects of the metabolic syndrome; however, attempts by other companies to translate FGF21 into a product with clinical application have had limited success. While native FGF21 is thought to have limitations for drug development, including potential effects on cortisol, bone and blood pressure, various animal studies have demonstrated that modified FGF21 ligands simultaneously regulate insulin sensitivity and blood glucose and increase energy expenditure, fat utilization and lipid excretion. Multiple pharmaceutical companies have conducted human testing of therapeutics regulating the FGF21 pathway. Administration of modified FGF21 ligands to humans results in variable improvement in insulin sensitivity, reduction in liver fat content and improvement in lipid profile and body weight loss, suggesting potential utility in treating obesity, type 2 diabetes, dyslipidemia and NASH. However, the blood glucose reductions observed in humans following dosing with modified FGF21 ligands, to date, have not been meaningful. It is thought that these FGF21-based protein therapeutics have produced inadequate glucose reductions due to a shorter than optimal half-life or counter-regulatory mechanisms triggered from activity across multiple receptor types. It has been postulated that a therapeutic regulating the FGF21 pathway with an extended half-life might improve its efficacy profile for type 2 diabetes. Furthermore, while an FGF21-based agent has demonstrated significant reductions in liver steatosis and non-invasive markers of disease in NASH subjects, the effect of FGF21 on liver histology in NASH patients has not been assessed to date.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NGM313, an Agonistic Antibody of the FGFR1c/KLB Receptor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We believe that developing a specific, agonistic antibody that selectively activates the FGFR1c/KLB pathway would obviate the risks associated with therapeutics based on the native FGF21 ligand. The development candidate, NGM313, exhibits highly specific binding with KLB, resulting exclusively in the activation of FGFR1c-mediated signaling: it does not trigger signaling through other FGF receptors, such as FGFR2c, FGFR3c or FGFR4. Moreover, as NGM313 recognizes an epitope on KLB that is distinct from the FGF19 or FGF21 binding sites, it does not compete with these natural ligands for binding with the FGFR1c/KLB complex. We believe that this non-overlapping binding site reduces the potential for side effects resulting from NGM313 inhibition of endogenous FGF19 and FGF21 hormone activity.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NGM313 Phase 1b Early Proof-of-Concept Clinical Trial</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conducted a Phase 1b randomized, open-label, parallel group trial to evaluate the safety, tolerability, pharmacokinetics and pharmacodynamics of a single NGM313 dose or daily oral pioglitazone in 25 obese insulin resistant subjects with NAFLD. The Phase 1b clinical trial evaluated the ability of NGM313 to decrease liver fat content (LFC) to support the clinical development of NGM313 in NASH, as well as its effect on glucose disposal to assess the potential of NGM313 in the treatment of patients with type 2 diabetes. A single subcutaneous dose of 240 mg NGM313 was selected based on the clinical pharmacokinetic and pharmacodynamic data, and the tolerability profile from the Phase 1 SAD/MAD trial described below. Pioglitazone was chosen as a positive control in this study as it is the only agent approved for clinical use as an insulin sensitizer for the treatment of type 2 diabetes and also has demonstrated beneficial activity in NASH patients. The highest approved daily oral dose of 45 mg pioglitazone was used in this study to provide the opportunity for maximal efficacy as a comparator in a trial with a short treatment duration of five weeks.</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240" w:top="459"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primary objectives of the study were to evaluate changes from baseline in LFC as measured by MRI-PDFF at day 36 and changes from baseline in whole body insulin sensitivity at day 29 in subjects treated with NGM313 as compared to pioglitazone. Preliminary results indicated that a single dose of NGM313 resulted in a statistically significant least squares mean change from baseline to day 36 of -6.3% and -37% in absolute and relative LFC, respectively (p&lt;0.0001), while daily dosing of 45 mg pioglitazone resulted in a statistically significant least squares mean change from baseline to day 36 of -4.0% and -25%, respectively (p&lt;0.001). The change from baseline with NGM313 treatment was not significantly different relative to that observed with pioglitazone (p=0.08), however, the study was not powered to demonstrate statistical significance between groups. Historically, a relative reduction of LFC of 29%, as measured by MRI-PDFF, was associated with a histological response of a NAS improvement of two stages or greater. In addition, preliminary results indicated that a single dose of NGM313 resulted in a statistically significant mean decrease from baseline of 0.24% in HbA1c at day 36 (p&lt;0.0001), as compared to a decrease of 0.11% with a daily dose of 45 mg of pioglitazone, without hypoglycemia. A reduction in HbA1c of the magnitude observed in this study’s insulin resistant, non-diabetic patient population in this time frame supports the promise of NGM313 to potentially improve glucose control in type 2 diabetes patients. This was accompanied by statistically significant reductions from baseline in HOMA-IR, serum concentrations of fasting glucose, ALT, AST, triglycerides and LDL cholesterol, and a statistically significant increase in HDL cholesterol levels at day 28 (all p&lt;0.05), as summarized in the table below. PRO-C3 was also significantly reduced with NGM313 treatment but not with pioglitazone (p&lt;0.01).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-7620</wp:posOffset>
            </wp:positionV>
            <wp:extent cx="4073525" cy="2761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7352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Preliminary data indicate that NGM313-treated patients had a least squares mean increase from baseline in body weight of 1.6 kg at day 36, as compared to 2.4 kg with pioglitazone. This study indicated that NGM313 was well-tolerated, with no serious adverse events and no adverse event leading to study discontinuation. All adverse events observed during the course of the study were deemed mild, with increased appetite (12%) being the only adverse event reported in at least 10% of NGM313-treated subjects.</w:t>
      </w:r>
    </w:p>
    <w:p>
      <w:pPr>
        <w:spacing w:after="0" w:line="202" w:lineRule="exact"/>
        <w:rPr>
          <w:sz w:val="20"/>
          <w:szCs w:val="20"/>
          <w:color w:val="auto"/>
        </w:rPr>
      </w:pPr>
    </w:p>
    <w:p>
      <w:pPr>
        <w:ind w:left="200" w:right="280" w:firstLine="551"/>
        <w:spacing w:after="0"/>
        <w:rPr>
          <w:sz w:val="20"/>
          <w:szCs w:val="20"/>
          <w:color w:val="auto"/>
        </w:rPr>
      </w:pPr>
      <w:r>
        <w:rPr>
          <w:rFonts w:ascii="Arial" w:cs="Arial" w:eastAsia="Arial" w:hAnsi="Arial"/>
          <w:sz w:val="18"/>
          <w:szCs w:val="18"/>
          <w:color w:val="auto"/>
        </w:rPr>
        <w:t>Preliminary data from the Phase 1b clinical trial, in addition to the data described below from the Phase 1 SAD/MAD clinical trial, support the potential for NGM313 to be the first insulin sensitizer for the treatment of NASH and type 2 diabetes, without the safety concerns that plague currently available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agents targeting insulin resistance, such as edema, fluid retention, heart failure and bone fractures. Given that the metabolic changes of NGM313 were seen after only a single dose, it is likely that a more substantial improvement would be observed after longer duration of treatment. We expect Merck to initiate a Phase 2b histology study of NGM313 in NASH subjects in late 2019 or early 2020. If NGM313 is approved for the treatment of NASH, we expect that the drug would be used predominantly in NASH patients with early to moderate fibrosis. We anticipate that the NASH patients with more advanced fibrosis could be treated with NGM282 in order to more quickly reverse fibrosis and bring back the liver to a healthier state, whereas NGM313 could subsequently be used to halt the progression of disease by addressing the metabolic drivers of NASH.</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NGM313 Phase 1 SAD/MAD Clinical Trial</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first-in-human Phase 1 clinical trial was a blinded, placebo-controlled study in overweight or obese but otherwise healthy adults in which single and multiple once-monthly subcutaneous injections of NGM313 or placebo were tested to evaluate the safety, tolerability and pharmacokinetics of NGM313. NGM313 was well tolerated, with signs of biological activity indicative of insulin sensitization, after a single dose. In the SAD portion of the study, where single doses of 3 mg up to 360 mg of NGM313 were tested, higher doses resulted in small but statistically significant (p&lt;0.05) mean reductions from baseline in HbA1c, fasting glucose levels, fasting insulin levels and HOMA-IR at day 29, as compared to placebo. The magnitude of change in glucose parameters is consistent with what would be expected with an insulin sensitizer in these subjects with normal glycemic control. In a dose dependent fashion, total adiponectin levels, a potential biomarker of insulin sensitivity, increased by approximately 140% at the 240 mg and 360 mg doses of NGM313. The statistically significant increases in adiponectin relative to placebo remained persistent through day 57 and day 85 after a single dose of 240 mg and 360 mg of NGM313 (p&lt;0.01), respectively. Dose dependent changes in the lipid profile were also apparent at day 29, with observed increases in levels of HDL cholesterol, lower levels of LDL cholesterol and decreased levels of triglycerides that were statistically significant at the higher doses (p&lt;0.05).</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the MAD portion of the study, three once-monthly doses of between 10 mg and 240 mg of NGM313 were administered and, after 12 weeks, mean decreases from baseline in HbA1c, fasting glucose, fasting insulin and HOMA-IR were observed at the higher doses relative to placebo. Similar to the SAD portion of the study, a favorable lipid profile was demonstrated at the end of treatment on day 85, as shown in the table below. An increase in placebo-subtracted body weight at end of treatment of 1.6 kg and 2.4 kg was noted in patients from the SAD and MAD cohorts that received the highest dose level of NGM313, respectively. This trend in body weight increase is consistent with the degree of insulin sensitization effects observed at these doses, and there was no evidence of edema, fluid retention or hemodilution associated with NGM313 treatment. Despite the change in weight, there was no statistically significant increase in the waist circumference in these cohorts of subjects receiving NGM313. The beneficial changes in glucose metabolism, lipid levels and biomarkers of insulin sensitization supported further evaluation of NGM313 in patients with fatty liver and insulin resistance.</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NGM313 Improves Key Glucoregulatory and Lipid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11430</wp:posOffset>
            </wp:positionV>
            <wp:extent cx="5222875" cy="2452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2287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both the SAD and MAD cohorts, NGM313 was well tolerated. There were three serious adverse events reported (adjustment disorder in the placebo group; lower gastrointestinal hemorrhage and cholecystitis in the NGM313 groups), and they were considered to be unrelated to study drug. The majority of adverse events were mild to moderate in severity, and treatment-related events with the greatest proportion of subjects were gastrointestinal disorders, injection site reactions, upper respiratory tract infections, headache and increased appetite. In contrast to pioglitazone, where an increased risk of bone fractures in women has been described, there were no changes in bone mineral density and bone formation and resorption markers observed in the MAD trial among subjects treated with NGM313. No symptomatic hypoglycemia was observed with NGM313 treatment. The pharmacokinetic profile suggests that NGM313 displays nonlinear kinetics following a single dose, which is anticipated for an antibody that displays target-mediated clearance. There was some presence of anti-drug antibodies observed, but it did not appear to affect the pharmacokinetics or tolerability profile of NGM313.</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NGM386/NGM395: Engineered Variants of GDF15 for the Potential Treatment of Metabolic Disease</w:t>
      </w:r>
    </w:p>
    <w:p>
      <w:pPr>
        <w:spacing w:after="0" w:line="126"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NGM386 and NGM395, also known as MK-4820 and MK-3606, respectively, are proprietary, engineered variants of the hormone GDF15 that were being developed by Merck under the collaboration as once-daily and once-weekly, or less frequent, subcutaneous injections for the treatment of obesity. In 2015, we granted Merck a worldwide license to further research, develop and commercialize NGM386, NGM395 and other GDF15 receptor agonists pursuant to our collaboration agreement. Merck completed the conduct of a Phase 1 MAD clinical trial with NGM386 . On March 1, 2019, Merck notified us of its intent to terminate its license to the program, effective May 31, 2019. Upon effectiveness of this termination, we will regain full rights to the GDF15 receptor agonist program, which includes NGM386 and NGM395. We expect to decide whether to advance NGM386 and/or NGM395 following our analysis of the results of the NGM386 Phase 1 trial.</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GDF15 Pathway and Our Discovery of the GDF15 Receptor, GFRAL</w:t>
      </w:r>
    </w:p>
    <w:p>
      <w:pPr>
        <w:spacing w:after="0" w:line="122"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GDF15, also known as MIC-1 and NAG-1, is expressed in peripheral tissues relevant to metabolic function. We identified GDF15 in an unbiased screen of putative secretory factors using our</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53" w:lineRule="auto"/>
        <w:rPr>
          <w:sz w:val="20"/>
          <w:szCs w:val="20"/>
          <w:color w:val="auto"/>
        </w:rPr>
      </w:pPr>
      <w:r>
        <w:rPr>
          <w:rFonts w:ascii="Arial" w:cs="Arial" w:eastAsia="Arial" w:hAnsi="Arial"/>
          <w:sz w:val="17"/>
          <w:szCs w:val="17"/>
          <w:color w:val="auto"/>
        </w:rPr>
        <w:t xml:space="preserve">rAAV gene delivery approach in diet-induced obese, or DIO, mice. In this screen, GDF15 produced one of the most potent and efficacious metabolic responses we have observed, effectively normalizing blood glucose and significantly reducing body weight. The effects of GDF15 on food intake, energy expenditure and body weight were known. We discovered that GDF15 causes peripheral lipolysis, which is the burning of fats to create free fatty acids as a source of energy, through the sympathetic nervous system. However, the pharmaceutical industry’s GDF15 drug discovery efforts had been significantly impeded by the lack of understanding regarding the identity of its cognate receptor and signaling pathways. We identified GFRAL as the exclusive, brainstem-restricted receptor for GDF15 in 2013 and, in 2017, published a landmark paper in the journal </w:t>
      </w:r>
      <w:r>
        <w:rPr>
          <w:rFonts w:ascii="Arial" w:cs="Arial" w:eastAsia="Arial" w:hAnsi="Arial"/>
          <w:sz w:val="17"/>
          <w:szCs w:val="17"/>
          <w:i w:val="1"/>
          <w:iCs w:val="1"/>
          <w:color w:val="auto"/>
        </w:rPr>
        <w:t>Nature</w:t>
      </w:r>
      <w:r>
        <w:rPr>
          <w:rFonts w:ascii="Arial" w:cs="Arial" w:eastAsia="Arial" w:hAnsi="Arial"/>
          <w:sz w:val="17"/>
          <w:szCs w:val="17"/>
          <w:color w:val="auto"/>
        </w:rPr>
        <w:t xml:space="preserve"> describing its discovery and the elucidation of its crystal structure by our scientists.</w:t>
      </w:r>
    </w:p>
    <w:p>
      <w:pPr>
        <w:spacing w:after="0" w:line="19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research suggests that GDF15 is elevated in peripheral tissues following cellular insults, such as oxidative, metabolic or hypoxic stress, and may serve as a messenger hormone to communicate with the brain stem and orchestrate adaptive metabolic changes to cope with the energy demand of cells under various stress conditions. Among these adaptations are reduced food intake and a change in the fuel flux that favors the burning of free fatty acids through lipolysis, instead of burning carbohydrates. We discovered that GDF15 acts directly on GFRAL, a receptor located exclusively in the area postrema, or AP, and nucleus tractus solitarius, or NTS, of the brain stem. The AP is a circumventricular organ that is outside the blood-brain barrier, which means that it can readily sense any changes in the bloodstream. This discovery provided a mechanistic basis for the regulation by GDF15 of whole body metabolism through a distinct neural circuitry.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149860</wp:posOffset>
            </wp:positionV>
            <wp:extent cx="4511040" cy="19983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1104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Elucidating the Biology of GDF15 and GFRAL</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generated the following results supporting the biological role of GDF15 and its receptor, GFRAL:</w:t>
      </w:r>
    </w:p>
    <w:p>
      <w:pPr>
        <w:spacing w:after="0" w:line="117" w:lineRule="exact"/>
        <w:rPr>
          <w:sz w:val="20"/>
          <w:szCs w:val="20"/>
          <w:color w:val="auto"/>
        </w:rPr>
      </w:pPr>
    </w:p>
    <w:p>
      <w:pPr>
        <w:ind w:left="960" w:right="12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recombinant GDF15 protein was shown to confer potent metabolic benefits upon administration in mouse disease models, including decreased glucose levels without hypoglycemia, improved oral glucose tolerance, decreased insulin levels, increased lipolysis, reduced food intake and body weight loss;</w:t>
      </w:r>
    </w:p>
    <w:p>
      <w:pPr>
        <w:spacing w:after="0" w:line="108"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weight loss and metabolic effects from GDF15 expression in DIO mice were observed even at systemic levels as low as 0.6 ng/ml, a concentration comparable to the endogenous levels of this hormone found in humans;</w:t>
      </w:r>
    </w:p>
    <w:p>
      <w:pPr>
        <w:spacing w:after="0" w:line="102"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mouse strain in which GFRAL was knocked out was overweight compared to normal mice when fed a high-fat diet. However, the GFRAL receptor knockout mice were non-responsive to</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spacing w:after="0"/>
        <w:rPr>
          <w:sz w:val="20"/>
          <w:szCs w:val="20"/>
          <w:color w:val="auto"/>
        </w:rPr>
      </w:pPr>
      <w:r>
        <w:rPr>
          <w:rFonts w:ascii="Arial" w:cs="Arial" w:eastAsia="Arial" w:hAnsi="Arial"/>
          <w:sz w:val="18"/>
          <w:szCs w:val="18"/>
          <w:color w:val="auto"/>
        </w:rPr>
        <w:t>treatment with an engineered variant of GDF15 and, unlike their normal counterparts, the animals continued to show elevated body weight and increased food intake. This suggests that GFRAL is the only receptor through which GDF15 acts to achieve its metabolic effects; and</w:t>
      </w:r>
    </w:p>
    <w:p>
      <w:pPr>
        <w:spacing w:after="0" w:line="108" w:lineRule="exact"/>
        <w:rPr>
          <w:sz w:val="20"/>
          <w:szCs w:val="20"/>
          <w:color w:val="auto"/>
        </w:rPr>
      </w:pPr>
    </w:p>
    <w:p>
      <w:pPr>
        <w:ind w:left="960" w:right="260" w:hanging="216"/>
        <w:spacing w:after="0" w:line="239"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surgical procedure that cuts nerves in the sympathetic nervous system traveling through the vagus nerve, known as a vagotomy, reduces GDF15-induced body weight loss but does not affect GDF15-induced anorexia in mice. This suggests that GDF15 controls body weight through two pathways: a central pathway regulating food intake; and a peripheral, vagal-dependent pathway modulating fat utilization.</w:t>
      </w:r>
    </w:p>
    <w:p>
      <w:pPr>
        <w:spacing w:after="0" w:line="202"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In addition to the evidence generated in our labs, independent research has reported that GDF15 gene knockout mice weigh more and have increased obesity due to increased spontaneous food intake. Infusion of human recombinant GDF15 that raised serum levels of GDF15 knockout mice to within the normal human range led to reduced body weight and food intake in a dose-dependent fashion.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NGM386 and NGM395, Engineered Protein Variants of GDF15</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discovered in 2013 that GFRAL was the cognate receptor for GDF15 several years before other pharmaceutical companies became aware of the receptor identity. During this multi-year period we developed novel insights into the mechanism of action of GDF15 and the structure and function of the GDF15/GFRAL interaction. Through high-resolution X-ray crystallography, we discovered that GDF15 crystal structure revealed a hydrophobic region on the protein surface that we believe impairs the solubility and, therefore, the manufacturability of the native hormone. Armed with this structural information and functional assays that we were able to develop through the elucidation of the GDF15 signaling pathway, we conducted a systematic “structure-activity relationship” analysis of GDF15 and GFRAL to identify the critical functional domains of both the hormone and its receptor. With this data, we generated NGM386 and NGM395 as optimized GDF15 variants that exhibit significantly improved pharmaceutical properties. Since 2015, Merck has been responsible for the development and manufacturing of NGM386 and NGM395. NGM386 is an engineered protein variant of GDF15 that has a pharmacokinetic profile suitable as a once-daily subcutaneous injection. Merck has completed long-term toxicology studies with NGM386 in two species with no treatment-related changes in organ weight, cell morphology or clinical pathology noted beyond body weight loss and injection site reactions.</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Efficacy on NGM386 in DIO Mice (n=6/group)</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 xml:space="preserve">Change in Body Weight after 28 Days </w:t>
      </w:r>
      <w:r>
        <w:rPr>
          <w:rFonts w:ascii="Arial" w:cs="Arial" w:eastAsia="Arial" w:hAnsi="Arial"/>
          <w:sz w:val="18"/>
          <w:szCs w:val="18"/>
          <w:b w:val="1"/>
          <w:bCs w:val="1"/>
          <w:i w:val="1"/>
          <w:iCs w:val="1"/>
          <w:u w:val="single" w:color="auto"/>
          <w:color w:val="auto"/>
        </w:rPr>
        <w:t>qd</w:t>
      </w:r>
      <w:r>
        <w:rPr>
          <w:rFonts w:ascii="Arial" w:cs="Arial" w:eastAsia="Arial" w:hAnsi="Arial"/>
          <w:sz w:val="18"/>
          <w:szCs w:val="18"/>
          <w:b w:val="1"/>
          <w:bCs w:val="1"/>
          <w:u w:val="single" w:color="auto"/>
          <w:color w:val="auto"/>
        </w:rPr>
        <w:t xml:space="preserv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152400</wp:posOffset>
            </wp:positionV>
            <wp:extent cx="3841750" cy="21526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4175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NGM395, a long-acting fusion protein variant of GDF15, demonstrated results similar to NGM386, but with weekly dosing, in preclinical studies conducted in multiple species. NGM395 is currently in preclinical development, and has completed three-month studies in two species with no observation of treatment-related changes in organ weight, cell morphology, neurobehavior or clinical pathology that were not attributable to excessive body weight loss.</w:t>
      </w:r>
    </w:p>
    <w:p>
      <w:pPr>
        <w:spacing w:after="0" w:line="202"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Merck initiated first-in-human studies of NGM386 in 2016, and completed the conduct of a Phase 1 MAD clinical trial in 2018. Preliminary data from the study indicated that NGM386 treatment for 28 days was generally well-tolerated but did not result in significant body weight loss in obese subjects. We expect to decide whether to advance NGM386 and/or NGM395 following our analysis of the results of the NGM386 Phase 1 trial.</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NGM120: An Antagonistic Antibody Binding GFRAL for the Potential Treatment of CACS</w:t>
      </w:r>
    </w:p>
    <w:p>
      <w:pPr>
        <w:spacing w:after="0" w:line="126"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NGM120 is a proprietary, antagonistic antibody binding GFRAL that is designed to inhibit the effects of elevated GDF15 levels in cancer patients. GDF15 is believed to contribute to uncontrolled weight loss in these patients, also known as cancer anorexia and cachexia syndrome, or CACS, and possibly to the cancer itself. NGM120 is currently in a Phase 1 trial to assess safety, tolerability and pharmacokinetics.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CACS—Cancer Anorexia/Cachexia Syndrome</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CACS is a common co-morbidity of cancer and is associated with increased hospitalization and shortened survival compared to cancer patients that do not exhibit cachexia. While cachexia can occur in all types of cancer, particularly high incidence rates are observed in pancreatic, non-small cell lung and gastric cancers, at 54%, 36% and 67% of patients, respectively. Studies have shown that cancer patients that do not experience body weight loss have an improved prognosis. Current therapies targeting CACS are directed towards increasing appetite only, however, there is a lack of approved treatments that also address other aspects of the disease, including muscle mass loss and altered energy metabolism. A direct relationship has been established between GDF15 serum levels and cancer-associated weight loss in humans with certain cancers.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Antagonists to the GDF15/GFRAL Pathway</w:t>
      </w:r>
    </w:p>
    <w:p>
      <w:pPr>
        <w:spacing w:after="0" w:line="122" w:lineRule="exact"/>
        <w:rPr>
          <w:sz w:val="20"/>
          <w:szCs w:val="20"/>
          <w:color w:val="auto"/>
        </w:rPr>
      </w:pPr>
    </w:p>
    <w:p>
      <w:pPr>
        <w:ind w:left="200" w:firstLine="551"/>
        <w:spacing w:after="0" w:line="253" w:lineRule="auto"/>
        <w:rPr>
          <w:sz w:val="20"/>
          <w:szCs w:val="20"/>
          <w:color w:val="auto"/>
        </w:rPr>
      </w:pPr>
      <w:r>
        <w:rPr>
          <w:rFonts w:ascii="Arial" w:cs="Arial" w:eastAsia="Arial" w:hAnsi="Arial"/>
          <w:sz w:val="17"/>
          <w:szCs w:val="17"/>
          <w:color w:val="auto"/>
        </w:rPr>
        <w:t>We believe that antagonistic antibodies blocking the interaction between GFRAL and GDF15 could provide a novel approach to developing treatments for anorexia, CACS and, potentially, cancer. Mice grafted with human tumors overexpressing GDF15 became cachectic, and this weight loss was found to be reversible by treatment with monoclonal antibodies to GDF15. In addition, in a study where Lewis Lung Carcinoma cells that were engineered to express human GDF15 were injected into wild-type and GFRAL knockout mice, tumor-derived GDF15 appears to impact survival in mice in which the GFRAL signaling pathway is intact, whereas mice lacking GFRAL are resistant to the effects of elevated GDF15 levels. This indicates the potential for anti-GFRAL antibodies to improve patient survival in certain tumor types that express high levels of GDF15, in addition to preserving body mass and preventing development of CACS.</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Impact of GDF15 on Survival in Mice Implanted with Lewis Lung Carcinoma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166370</wp:posOffset>
            </wp:positionV>
            <wp:extent cx="3576320" cy="2049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7632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We believe that antibodies against GFRAL will be superior to antibodies against GDF15 because expression levels of GDF15 can rise dramatically in response to infection and other conditions involving cellular insult, meaning that large blood levels of antibodies antagonizing GDF15 will be required to achieve a therapeutic effect. By contrast, GFRAL is expressed at low levels in very specific regions of the brain stem, meaning that a relatively lower blood level of antibodies antagonizing GFRAL will be required to achieve a therapeutic effect.</w:t>
      </w:r>
    </w:p>
    <w:p>
      <w:pPr>
        <w:spacing w:after="0" w:line="20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We believe we have comprehensively characterized the receptor pathway and the structure-function relationship of GDF15 together with its cognate receptor, GFRAL. This understanding facilitated large-scale hybridoma campaigns that generated antibodies targeting key epitopes of the receptor complexes. We have generated and characterized multiple antagonistic antibodies against GFRAL, and from this portfolio, we chose to advance NGM120 as our development candidate.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NGM120, Antagonistic Antibody Against GFRAL</w:t>
      </w:r>
    </w:p>
    <w:p>
      <w:pPr>
        <w:spacing w:after="0" w:line="12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We designed NGM120 as a potent, humanized monoclonal antibody inhibitor of GFRAL with the potential for once-monthly or less frequent dosing. In numerous preclinical pharmacology models, NGM120 reverses and inhibits GDF15-mediated body weight loss and increases in energy expenditure. For example, treatment of mice with cisplatin, a chemotherapy commonly used to treat various cancers, resulted in body weight loss of approximately 15% after 30 days. However, treatment with an anti-GFRAL antibody prevented substantial body weight loss in this model,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146685</wp:posOffset>
            </wp:positionV>
            <wp:extent cx="3816350" cy="1800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1635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right="280" w:firstLine="551"/>
        <w:spacing w:after="0"/>
        <w:rPr>
          <w:sz w:val="20"/>
          <w:szCs w:val="20"/>
          <w:color w:val="auto"/>
        </w:rPr>
      </w:pPr>
      <w:r>
        <w:rPr>
          <w:rFonts w:ascii="Arial" w:cs="Arial" w:eastAsia="Arial" w:hAnsi="Arial"/>
          <w:sz w:val="18"/>
          <w:szCs w:val="18"/>
          <w:color w:val="auto"/>
        </w:rPr>
        <w:t>NGM120 is in a Phase 1 clinical trial to assess safety, tolerability and pharmacokinetics. Both the SAD and MAD portions of the Phase 1 clinical trial are ongoing. In extensive preclinical testing, including three-month safety and toxicology studies in non-human primates and rats, NGM120 was well tolerated.</w:t>
      </w:r>
    </w:p>
    <w:p>
      <w:pPr>
        <w:spacing w:after="0" w:line="203"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Our next study of NGM120 will be in cancer patients selected for high expression levels of GDF15. We intend to conduct a multicenter, Phase 1a/1b, open-label (Cohort 1) and blinded (Cohort 2) randomized study to evaluate the safety, tolerability and pharmacokinetics, and to obtain preliminary evidence of anti-tumor and anti-CACS activity, of NGM120 in patients with select advanced solid tumors. Antagonistic antibodies targeting the GDF15 receptor pathway are not included in the Merck license to GDF15 analogs and are subject to Merck’s future option upon completion of a human proof-of-concept study.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NGM217: A Potential Treatment for Diabetes</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NGM217 is a humanized monoclonal antibody against an undisclosed target that has the potential to increase the production of insulin in the pancreas of diabetics by improving effective beta cell function. This improvement is likely to lead to a substantial reduction in glycemic variability, which manifests as hyperglycemia or hypoglycemia in diabetics. We have initiated a Phase 1 clinical trial evaluating the safety and tolerability of NGM217 in patients with diabetes.</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Impaired beta cell function leads to the progressive failure of islet cells to secrete sufficient amounts of insulin to overcome peripheral insulin resistance, resulting in failure to maintain normal glucose homeostasis over time. The ability to increase effective beta cell function could be beneficial in three diabetes patient populations: patients with type 1 diabetes; patients with latent autoimmune diabetes in adults, or LADA; and patients with type 2 diabetes that are inadequately controlled with insulin treatment. In the United States, there are approximately 1.5 million adults with type 1 diabetes, and their beta cells produce little to no insulin. LADA is characterized by the slow, progressive autoimmune destruction of beta cells and approximately 10% of patients ages 40 to 75 in the United</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24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States with type 2 diabetes have LADA. These patients often become unresponsive to oral type 2 diabetes and GLP-1 therapies, and usually require early use of insulin in order to preserve the remaining pancreatic beta cell function. For these patients, the ability to increase beta cell function closer to onset of disease would provide an additional treatment option beyond insulin. There also exists a population of late-stage type 2 diabetics who have inadequate glycemic control despite being on intensive daily insulin treatment. These patients will ultimately progress to a point where they become non-responsive to insulin. Given the significant unmet medical need among these diabetes patient populations, we believe that NGM217 has the potential to provide a desirable treatment alternative that increases the effective function of beta islet cells while slowing the rate of disease progression.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 and Ongoing Phase 1 Clinical Trial</w:t>
      </w:r>
    </w:p>
    <w:p>
      <w:pPr>
        <w:spacing w:after="0" w:line="122"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Preclinical studies assessing the safety of monthly injections of NGM217 demonstrated desirable pharmacokinetics. NGM217 was well tolerated at doses that substantially exceeded the doses to be tested in humans. We have commenced a Phase 1 clinical trial to obtain safety and tolerability data, including rate of hypoglycemia, as well as to select the proper dose for future clinical studies. Thereafter, we plan to commence a Phase 1b/2a proof-of-concept clinical trial in 2020 that investigates the ability of NGM217 to increase stimulated C-peptide, a marker of insulin production, as well as to reduce insulin requirements and improve glycemic control with no worsening of hypoglycemia.</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NGM621: A Potential Treatment for Dry AMD</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NGM621 is a humanized monoclonal antibody against an undisclosed target that has supportive human genetics data to suggest that inhibition of this pathway can effectively slow the progression of vision loss in dry AMD. AMD remains the leading cause of vision loss and blindness in people 65 years of age and over in the United States. Prevalence of AMD increases with age, and it is estimated that approximately 3 million people 40 years of age and older will be affected by AMD in the United States by 2020. AMD is a gradually progressive disease that involves the damage and degeneration of cells under the retina and, in the advanced stages, patients can develop either or both of the wet and dry form of AMD. Geographic atrophy, or GA, is an advanced form of dry AMD characterized by deposits under the retina and damage and dysfunction of retinal cells, resulting in single or multiple regions that become impaired in the central area of the retina called the macula. These patches of GA gradually enlarge to cause permanent loss of central vision. GA is prevalent in about 1 million people in the United States and over 5 million people worldwide in 2017 and occurs bilaterally, or in both eyes, in approximately 50% of patients within seven years of diagnosis.</w:t>
      </w:r>
    </w:p>
    <w:p>
      <w:pPr>
        <w:spacing w:after="0" w:line="207"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While wet AMD is treated with anti-vascular endothelial growth factor, or anti-VEGF, therapeutics, there are currently no approved treatments for dry AMD and GA. Multiple modalities and classes of therapies are under investigation for GA, including APL-2, which is being developed by Apellis and recently entered Phase 3 clinical trials, and Zimura, which is in Phase 2b clinical trials and being developed by Ophthotech. In 2017, Roche announced that lampalizumab failed to meet the primary endpoint in two Phase 3 trials in GA and, to date, no investigative treatment for GA has shown efficacy in Phase 3. Both APL-2 and Zimura are being developed as intravitreal injections that are administered once monthly or once every two months by retinal specialists, consistent with the current practice for wet AMD treatment. Given the significant unmet medical need and the importance of dosing convenience for GA patients, we believe that NGM621 has the potential to provide a desirable treatment option with improved efficacy with respect to slowing the rate of disease progression and less frequent dosing.</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24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 and Planned Phase 1 Clinical Trial</w:t>
      </w:r>
    </w:p>
    <w:p>
      <w:pPr>
        <w:spacing w:after="0" w:line="12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expect to complete preclinical studies in cynomolgus monkeys to assess the safety of NGM621 intravitreal injections in the first half of 2019 to enable the planned Phase 1 and future clinical trials. Following submission of an IND to the FDA in the first half of 2019, we plan to initiate a Phase 1 SAD clinical trial in the second half of 2019 to evaluate the safety, tolerability and pharmacokinetic profile of single doses of intravitreal injections of NGM621 in GA patients.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Collaboration with Merck</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 and Benefits</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2015, we entered into a broad, strategic collaboration with Merck in order to advance novel biologic therapeutics for the treatment of highly prevalent diseases with significant unmet medical needs. The collaboration is complementary to our drug development model, and is designed to follow certain approaches used in historically successful collaboration agreements between large pharmaceutical companies and emerging biotechnology companies. The collaboration has provided us with the financial support to broaden and accelerate our existing research efforts, access to mid- and late-stage development expertise, in the future, the resources to enable large global trials and the global commercial and distribution capabilities that we believe our products will require. Importantly, this collaboration structure preserves our research independence and allows us to retain meaningful economic rights in our product candidates.</w:t>
      </w:r>
    </w:p>
    <w:p>
      <w:pPr>
        <w:spacing w:after="0" w:line="20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collaboration includes an exclusive worldwide license to our GDF15 receptor agonist program. On March 1, 2019, Merck notified us of its intent to terminate its license to the program, effective May 31, 2019. Under the agreement, we also granted Merck options to take exclusive, worldwide licenses, on a program-by-program basis, for the programs in our research and development pipeline. Merck generally has a one-time right to exercise its option at the point at which a program completes a human proof-of-concept trial. In November 2018, Merck exercised its option to license our NGM313 program. On March 15, 2019, Merck exercised its option to extend our research collaboration, and thereby preserve its option to license programs in our research and development pipeline, through March 17, 2022. Merck has the right to extend the research collaboration again through March 17, 2024, and is required to inform us of its intent to extend one year prior to the expiration of the term. In addition, we excluded the NGM282 program from the agreement and it remains wholly owned and controlled by us.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strategic value of our agreement with Merck can be summarized as follows:</w:t>
      </w:r>
    </w:p>
    <w:p>
      <w:pPr>
        <w:spacing w:after="0" w:line="95" w:lineRule="exact"/>
        <w:rPr>
          <w:sz w:val="20"/>
          <w:szCs w:val="20"/>
          <w:color w:val="auto"/>
        </w:rPr>
      </w:pPr>
    </w:p>
    <w:p>
      <w:pPr>
        <w:ind w:left="960" w:right="120" w:hanging="216"/>
        <w:spacing w:after="0" w:line="238"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Support: </w:t>
      </w:r>
      <w:r>
        <w:rPr>
          <w:rFonts w:ascii="Arial" w:cs="Arial" w:eastAsia="Arial" w:hAnsi="Arial"/>
          <w:sz w:val="18"/>
          <w:szCs w:val="18"/>
          <w:color w:val="auto"/>
        </w:rPr>
        <w:t>Under the terms of the agreement, Merck paid us an upfront cash licensing fee of $94.0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$106.0 million of our Series E convertible preferred stock in 2015. In addition to the upfront cash component, Merck initially committed to provide us research and development reimbursement of up to $50.0 million per year for at least five years. If our research and development expenses exceed $50.0 million in a given year and we are conducting IND-enabling or later-staged activities, Merck is required to elect either to reimburse up to an additional $25.0 million for use in funding IND-enabling or later-staged activities or to provide us with the equivalent value in in-kind services for preclinical and clinical development activities. The total Merck reimbursement for our research and development activities could therefore reach $75.0 million per year through the first five years of the research phase. In connection with Merck’s exercise of its option to extend our research collaboration in March 2019, Merck agreed to continue to fund our research and development efforts at the same levels during the two-year extension period and, in lieu of a $20.0 million extension fee payable to us, during such two year extension period Merck will make additional payments totaling up to $20.0 million in support of our research and development activities across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2021 and the first quarter of 2022. Merck paid us a fee of $20.0 million in December 2018 in connection with the exercise of its license option for NGM313. From inception of the collaboration through December 31, 2018, Merck has paid us $222.4 million of research and development reimbursement.</w:t>
      </w:r>
    </w:p>
    <w:p>
      <w:pPr>
        <w:spacing w:after="0" w:line="86" w:lineRule="exact"/>
        <w:rPr>
          <w:sz w:val="20"/>
          <w:szCs w:val="20"/>
          <w:color w:val="auto"/>
        </w:rPr>
      </w:pPr>
    </w:p>
    <w:p>
      <w:pPr>
        <w:ind w:left="960" w:right="60" w:hanging="216"/>
        <w:spacing w:after="0" w:line="239"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Opportunity: </w:t>
      </w:r>
      <w:r>
        <w:rPr>
          <w:rFonts w:ascii="Arial" w:cs="Arial" w:eastAsia="Arial" w:hAnsi="Arial"/>
          <w:sz w:val="18"/>
          <w:szCs w:val="18"/>
          <w:color w:val="auto"/>
        </w:rPr>
        <w:t>For programs that Merck licenses, we retain an option to participate in the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the drug up to a 50% cost and profit share, which includes an option to co-detail the product alongside Merck in the United States. If we elect to participate in the cost and profit share, subject to certain limitations and in addition to the committed annual funding, Merck has agreed to advance us a portion of our share of the overall development costs, which it will recoup from our share of any profit ultimately resulting from sales of the approved drug or, if unsuccessful, other compounds that reach commercialization and are subject to a cost and profit share. If we decide not to participate in the cost and profit share, Merck will owe us milestone payments and royalties as a percentage of global net sales in the low double digits to mid-teens upon commercialization. Our option to participate in the late-stage development and commercialization of licensed programs, such as NGM313, has not yet been triggered.</w:t>
      </w:r>
    </w:p>
    <w:p>
      <w:pPr>
        <w:spacing w:after="0" w:line="89" w:lineRule="exact"/>
        <w:rPr>
          <w:rFonts w:ascii="Arial" w:cs="Arial" w:eastAsia="Arial" w:hAnsi="Arial"/>
          <w:sz w:val="18"/>
          <w:szCs w:val="18"/>
          <w:color w:val="auto"/>
        </w:rPr>
      </w:pPr>
    </w:p>
    <w:p>
      <w:pPr>
        <w:ind w:left="960" w:right="260" w:hanging="216"/>
        <w:spacing w:after="0" w:line="24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Sharing of Expertise: </w:t>
      </w:r>
      <w:r>
        <w:rPr>
          <w:rFonts w:ascii="Arial" w:cs="Arial" w:eastAsia="Arial" w:hAnsi="Arial"/>
          <w:sz w:val="18"/>
          <w:szCs w:val="18"/>
          <w:color w:val="auto"/>
        </w:rPr>
        <w:t>The collaboration provides Merck access to the deep expertise of our team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emerging from our novel drug discovery approach, while it provides us with a partner experienced in running large, global, late-stage trials focused on population safety and cardiovascular outcome studies. Further, the agreement provides us with access to Merck’s substantial commercial capabilities.</w:t>
      </w:r>
    </w:p>
    <w:p>
      <w:pPr>
        <w:spacing w:after="0" w:line="79" w:lineRule="exact"/>
        <w:rPr>
          <w:rFonts w:ascii="Arial" w:cs="Arial" w:eastAsia="Arial" w:hAnsi="Arial"/>
          <w:sz w:val="18"/>
          <w:szCs w:val="18"/>
          <w:color w:val="auto"/>
        </w:rPr>
      </w:pPr>
    </w:p>
    <w:p>
      <w:pPr>
        <w:ind w:left="960" w:right="100" w:hanging="216"/>
        <w:spacing w:after="0" w:line="244"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Control Provisions: </w:t>
      </w:r>
      <w:r>
        <w:rPr>
          <w:rFonts w:ascii="Arial" w:cs="Arial" w:eastAsia="Arial" w:hAnsi="Arial"/>
          <w:sz w:val="18"/>
          <w:szCs w:val="18"/>
          <w:color w:val="auto"/>
        </w:rPr>
        <w:t>We maintain control over the direction and execution of our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program through human proof-of-concept testing, allowing our research team the freedom to seek the most promising candidates and flexibility to terminate or de-prioritize projects. In addition, we excluded NGM282 from the Merck collaboration to retain an independent clinical program and as a means to potentially enable full integration of our capabilities to position us for long-term success.</w:t>
      </w:r>
    </w:p>
    <w:p>
      <w:pPr>
        <w:spacing w:after="0" w:line="199" w:lineRule="exact"/>
        <w:rPr>
          <w:sz w:val="20"/>
          <w:szCs w:val="20"/>
          <w:color w:val="auto"/>
        </w:rPr>
      </w:pPr>
    </w:p>
    <w:p>
      <w:pPr>
        <w:ind w:left="200" w:right="400" w:firstLine="551"/>
        <w:spacing w:after="0" w:line="239" w:lineRule="auto"/>
        <w:rPr>
          <w:sz w:val="20"/>
          <w:szCs w:val="20"/>
          <w:color w:val="auto"/>
        </w:rPr>
      </w:pPr>
      <w:r>
        <w:rPr>
          <w:rFonts w:ascii="Arial" w:cs="Arial" w:eastAsia="Arial" w:hAnsi="Arial"/>
          <w:sz w:val="18"/>
          <w:szCs w:val="18"/>
          <w:color w:val="auto"/>
        </w:rPr>
        <w:t>We believe our pipeline of therapies for the treatment of major diseases, like type 2 diabetes, obesity and NASH, is unusual amongst emerging biopharmaceutical companies, the uniqueness of which is further evidenced by the broad support provided by our collaboration with Merck. This collaboration provides us with a competitive advantage by enabling us to advance a portfolio of drug candidates in the cardio-metabolic area while still retaining significant economic ownership of the programs.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Detailed Description of the Merck Collaboration</w:t>
      </w:r>
    </w:p>
    <w:p>
      <w:pPr>
        <w:spacing w:after="0" w:line="126"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covering the discovery, development and commercialization of novel therapies across a range of therapeutic areas. In March 2019, Merck exercised its option to extend the collaboration for two additional years, from March 2020 to March 2022. The collaboration included an exclusive worldwide license to our GDF15 program, comprising NGM386 and NGM395 and other GDF15 analogs. On March 1, 2019, Merck notified us of its intent to terminate its license to the program, effective May 31, 2019. Upon termination of the license, we will regain full rights to the GDF15 receptor agonist program, which includes NGM386 and NGM395. These compounds are being evaluated for the treatment of obesity. The collaboration also includes a broad, multi-year drug discovery and early development program financially supported by Merck but scientifically directed by us with input from Merck. For those compounds resulting from this research and development program that progress through proof-of-concept studies, Merck has an exclusive option, at a cost of $20.0 million for each compound, to obtain an exclusive, worldwide license. If Merck exercises its option with respect to such</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 compound, we in turn have the right, at the start of the first Phase 3 clinical trial for that compound, to elect to participate in a worldwide cost and profit sharing arrangement with Merck, as well as the option to co-detail the compound in the United States, or we can elect instead to receive milestones and royalties from Merck based on its further development and commercialization of the compound. If we elect to participate in the cost and profit sharing arrangement, subject to certain limitations, Merck will provide us financial assistance in the form of advances of our share of the overall development costs, which it will recoup from our share of any profit ultimately resulting from sales of the compound or, if unsuccessful, other compounds that reach such stage.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Early Development Program</w:t>
      </w:r>
    </w:p>
    <w:p>
      <w:pPr>
        <w:spacing w:after="0" w:line="122"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Under the agreement, we are conducting an extensive research and early development program, the goal of which is the identification, research and development, through human proof-of-concept studies, of multiple product candidates for various therapeutic areas. Included in this program are all NGM research and development programs that existed when we entered into the agreement with Merck, with the exception of the following: NGM282, any other compounds that target FGFR4 and inhibit CYP7A1 expression (including variants or derivatives of FGF19) and any compounds that are covered by or within the scope of third party license or option rights. We determine the scientific direction and areas of therapeutic interest, with input from Merck, and we are primarily responsible for the conduct of all research, preclinical and early clinical development activities, through human proof of concept. We make the final determinations as to which compounds to advance into and through initial clinical studies, which to progress into proof-of-concept studies, and the design of any proof-of-concept studies, with input from Merck through various governance committees.</w:t>
      </w:r>
    </w:p>
    <w:p>
      <w:pPr>
        <w:spacing w:after="0" w:line="207" w:lineRule="exact"/>
        <w:rPr>
          <w:sz w:val="20"/>
          <w:szCs w:val="20"/>
          <w:color w:val="auto"/>
        </w:rPr>
      </w:pPr>
    </w:p>
    <w:p>
      <w:pPr>
        <w:jc w:val="both"/>
        <w:ind w:left="200" w:right="300" w:firstLine="551"/>
        <w:spacing w:after="0"/>
        <w:rPr>
          <w:sz w:val="20"/>
          <w:szCs w:val="20"/>
          <w:color w:val="auto"/>
        </w:rPr>
      </w:pPr>
      <w:r>
        <w:rPr>
          <w:rFonts w:ascii="Arial" w:cs="Arial" w:eastAsia="Arial" w:hAnsi="Arial"/>
          <w:sz w:val="18"/>
          <w:szCs w:val="18"/>
          <w:color w:val="auto"/>
        </w:rPr>
        <w:t>The research and early development program has an initial term of five years, until March 17, 2020. On March 15, 2019, Merck exercised its option to extend the collaboration through March 17, 2022, and has the option to extend it again until March 17, 2024. We refer to this five, seven or nine-year period as the research phase of the collaboration.</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the agreement, Merck reimburses the internal and external costs of our research and early development activities in an amount up to $ 50.0 million per year during the initial five-year term, based on an estimated annual budget. If we exceed this budget in a particular year, and if the program is such that we are performing IND-enabling studies at that time, Merck is required to elect either to reimburse up to an additional $25.0 million for use in funding IND-enabling or later-staged activities or to provide us with the equivalent value in in-kind services for preclinical and clinical development activities. The total Merck reimbursement for our research and development activities could therefore reach $75 million per year through the first five years of the research phase. In connection with Merck’s exercise of its option to extend our research collaboration in March 2019, Merck agreed to continue to fund our research and development efforts at the same levels during the two year extension period and, in lieu of a $20.0 million extension fee payable to us, during such two-year extension period Merck will make additional payments totaling up to $20.0 million in support of our research and development activities across 2021 and the first quarter of 2022. From inception of the collaboration through December 31, 2018, Merck has paid us $222.4 million of research and development reimbursement. If Merck elects to extend the research phase for an additional two years, the level of funding that Merck will provide to us during such extension will be negotiated at the time of the extension, subject to certain minimum and maximum funding limits based on a percentage of the then-existing funding. With two exceptions, Merck may not terminate its annual funding of the research and early development program prior to the end of the research phase of the collaboration. Those two exceptions are: (i) if we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spacing w:after="0" w:line="246" w:lineRule="auto"/>
        <w:rPr>
          <w:sz w:val="20"/>
          <w:szCs w:val="20"/>
          <w:color w:val="auto"/>
        </w:rPr>
      </w:pPr>
      <w:r>
        <w:rPr>
          <w:rFonts w:ascii="Arial" w:cs="Arial" w:eastAsia="Arial" w:hAnsi="Arial"/>
          <w:sz w:val="18"/>
          <w:szCs w:val="18"/>
          <w:color w:val="auto"/>
        </w:rPr>
        <w:t>are acquired by a third party; or (ii) if we are in material uncured breach of our obligations under the research and early development program.</w:t>
      </w:r>
    </w:p>
    <w:p>
      <w:pPr>
        <w:spacing w:after="0" w:line="197"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At the end of the research phase, Merck has the right to either require us to continue to conduct research and development activities with respect to certain of the then-existing programs for up to three years, which we call the tail period, by agreeing to pay all our internal and external costs for related work, or to take over such selected programs and conduct such research and development activities itself, at its own cost.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Merck Option to License NGM Programs</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During the research phase, or during the tail period, if there is one, following completion of a proof-of-concept study for a particular compound, regardless of the results of such study, Merck has the one-time option to obtain an exclusive, worldwide license, on specified terms, to that compound, as well as to all other molecules that are directed against the same target and that result in the same effect on such target, which we refer to as an Optioned Program. If Merck exercises its license option, Merck will be responsible, at its own cost, for the further development and any commercialization activities for compounds within that Optioned Program, subject to our options to cost and profit share worldwide, and to co-detail those compounds in the United States, as further described below.</w:t>
      </w:r>
    </w:p>
    <w:p>
      <w:pPr>
        <w:spacing w:after="0" w:line="205"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If Merck does not exercise its license option with respect to a particular compound within a limited period of time, we will retain all rights to research, develop and commercialize that compound and its related molecules on a worldwide basis, either alone or in partnership with a third party, subject to the payment to Merck of certain royalties on any commercial sales of any resulting products. If, however, Merck does not exercise its license option because it determined further development of the compound was not warranted for technical, safety or efficacy reasons, and if later in the research phase we again complete a proof-of-concept study with the compound or a related compound, Merck’s option rights would nonetheless apply to the compound for a limited period of time. Unless Merck has elected to conduct research and development activities itself, we also retain all rights to programs that have not completed proof-of-concept studies by the end of the research phase, or the tail period, if there is one.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 Option to Elect Cost and Profit Share and Merck Financial Assistance</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If Merck exercises its license option, then at the point where it has advanced the licensed compound to its first Phase 3 clinical trial, we have the option for a limited period of time to participate in a cost and profit sharing arrangement with Merck on that compound. Where we exercise such an option, we call such compounds NGM Optioned Products. As part of our election to exercise our option to cost and profit share, we also select the percentage share—up to 50%—that we desire to fund of the total global costs of developing and, if approved, commercializing that NGM Optioned Product. The percentage of any profits we will receive from sales of the NGM Optioned Product will be the same as the percentage share we elect to contribute to funding costs. Our right to participate in cost and profit sharing under the agreement is subject to the following limitation: if at the point in time when we are exercising our option for a licensed compound the actual costs we have incurred across all NGM Optioned Products, plus the prospective costs allocated to us across all NGM Optioned Products, plus the costs we are electing to incur if we were to exercise our option for the compound, reaches $1.0 billion (if the research phase ends in 2020), $1.4 billion (if the research phase is extended to 2022) or $1.8 billion (if the research phase is extended to 2024), then the Company will not be able to exercise its option on any further licensed compounds that Merck takes forward.</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Our agreement also provides that, following our election to cost and profit share on an NGM Optioned Product, Merck will advance to us and/or assume a specified portion of the expected global costs for that NGM Optioned Product. These advances/assumed costs are subject to an aggregate cap across all NGM Optioned Products over the course of the collaboration. We refer to the amount Merck advances/assumes as the Advanced Amount. All Advanced Amounts are treated as an accumulated but deferred cost that we owe to Merck, accrue interest and are recouped by Merck in full out of our share of any profits resulting from sales of that NGM Optioned Product before we receive any of those profits. If an NGM Optioned Product fails to generate profit sufficient to repay the balance of the Advanced Amount, the balance will be carried forward and recouped out of profits resulting from sales of any subsequent NGM Optioned Product(s), even if we did not obtain any advances from Merck on our share of costs for such subsequent NGM Optioned Product. We are responsible for directly funding all global development and commercialization costs of an NGM Optioned Product that are over and above any Advanced Amount.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Co-Detailing Rights in the United States</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For each NGM Optioned Product, we also have the option to participate in a portion of the commercial promotion, which we refer to as co-detailing, to provide up to 25% of the total requisite details in the United States of that NGM Optioned Product by fielding our own commercial sales force. We are required to make this election prior to receiving regulatory approval in the United States for the NGM Optioned Product. The specifics of our participation in co-detailing will be determined by the parties according to guidelines set out in the agreement. If we elect to co-detail with Merck, our costs are included in the overall shared commercialization costs, but we do not share in any greater portion of the profits than we otherwise would be entitled to for that NGM Optioned Product.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Small Molecule Research and Development</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our agreement we also granted Merck a worldwide, exclusive right to conduct research and development on, and to manufacture, use and commercialize, small molecule compounds identified or developed by Merck that have specified activity against any target that we are researching or developing under the research and early development program and that, but for use of our confidential and proprietary information, Merck would not have discovered. If Merck ultimately does not exercise its license option to the compound we have taken through a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 of these small molecule compounds, at its own cost. We are eligible to receive milestone and royalty payments on small molecule compounds that are developed by Merck under our license, in some cases at the same rates as those we are eligible to receive from Merck for a licensed program originating from our own research and development efforts, provided that, but for use of our confidential and proprietary information, Merck would not have discovered such small molecule compounds. However, we do not have the option to cost and profit share or the option to co-detail those small molecule products.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Collaboration Governance</w:t>
      </w:r>
    </w:p>
    <w:p>
      <w:pPr>
        <w:spacing w:after="0" w:line="12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Our collaboration with Merck is managed by a set of joint committees composed of equal numbers of representatives from each of us and Merck. A joint research committee, or JRC, has been established to review and discuss the preclinical work that we are conducting and to solicit Merck’s input on our research activities. Once we nominate a clinical candidate, a joint early development committee oversees and facilitates the conduct of preclinical and early development activities. A separate joint committee exists to oversee the research and early development of compounds within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GDF15 program. For NGM313 and any other Optioned Program, a joint late development committee oversees and coordinates development. A joint commercialization committee will oversee the commercialization of any compound arising from an Optioned Program as to which we elect to cost and profit share. Decision making in these committees generally requires the agreement of both Merck’s and our representatives, with unresolved issues escalating through to certain executive officers, and with us having the final say with respect to research and early development program matters and Merck having final say with respect to Optioned Program matters and late development and commercialization matters following the exercise of its option for a particular program.</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Diligence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Merck must each use commercially reasonable efforts to perform all of our respective activities under the collaboration.</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Exclusivity</w:t>
      </w:r>
    </w:p>
    <w:p>
      <w:pPr>
        <w:spacing w:after="0" w:line="122"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During the initial research phase, plus an additional limited period of time, neither we nor Merck may directly or indirectly research, develop, manufacture or commercialize any large or small molecule product outside our collaboration with specified activity against the hormones or receptors that are the focus of the GDF15 program, for any indication. During the research phase, we may not directly or indirectly research, develop, manufacture or commercialize, outside of the collaboration, any product with specified activity against any target that we are researching or developing under the collaboration. After the research phase, if Merck exercises its license option for a program, we may not directly or indirectly research, develop, manufacture or commercialize any product with specified activity against the target that is the subject of that licensed program for so long as Merck’s license to that program remains in effect.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Terms</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In exchange for these various rights and access to our drug discovery approach, Merck paid us an upfront cash fee of $94.0 million and purchased approximately $106.0 million of our Series E convertible preferred stock. In connection with Merck’s exercise of its option to extend our research collaboration in March 2019, Merck agreed to continue to fund our research and development efforts at the same levels during the two year extension period and, in lieu of a $20.0 million extension fee payable to us, during such two-year extension period Merck will make additional payments totaling up to $20.0 million in support of our research and development activities across 2021 and the first quarter of 2022. We are entitled to receive an extension payment of $20.0 million from Merck it chooses to further extend the extended research phase until March 17, 2024.</w:t>
      </w:r>
    </w:p>
    <w:p>
      <w:pPr>
        <w:spacing w:after="0" w:line="203" w:lineRule="exact"/>
        <w:rPr>
          <w:sz w:val="20"/>
          <w:szCs w:val="20"/>
          <w:color w:val="auto"/>
        </w:rPr>
      </w:pPr>
    </w:p>
    <w:p>
      <w:pPr>
        <w:jc w:val="both"/>
        <w:ind w:left="200" w:right="60" w:firstLine="551"/>
        <w:spacing w:after="0" w:line="239" w:lineRule="auto"/>
        <w:rPr>
          <w:sz w:val="20"/>
          <w:szCs w:val="20"/>
          <w:color w:val="auto"/>
        </w:rPr>
      </w:pPr>
      <w:r>
        <w:rPr>
          <w:rFonts w:ascii="Arial" w:cs="Arial" w:eastAsia="Arial" w:hAnsi="Arial"/>
          <w:sz w:val="18"/>
          <w:szCs w:val="18"/>
          <w:color w:val="auto"/>
        </w:rPr>
        <w:t>If Merck exercises its license option following completion of a human proof-of-concept study, Merck is required to pay us an option fee of $20.0 million for each licensed program. In December 2018, we received a $20.0 million payment from Merck in connection with the exercise of its license option for the NGM313 program. Merck does not owe us an option fee on the GDF15 receptor agonist program, as that was already licensed to Merck as of the effective date of our agreement.</w:t>
      </w:r>
    </w:p>
    <w:p>
      <w:pPr>
        <w:spacing w:after="0" w:line="20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If we do not elect to enter into a cost and profit sharing arrangement for a compound we have licensed to Merck including NGM313, we are eligible to receive an aggregate of $ 449.0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A break out of the milestone payments in connection with the potential achievement of certain clinical development events is as follows (in thousands):</w:t>
      </w:r>
    </w:p>
    <w:p>
      <w:pPr>
        <w:spacing w:after="0" w:line="212"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Third</w:t>
            </w:r>
          </w:p>
        </w:tc>
      </w:tr>
      <w:tr>
        <w:trPr>
          <w:trHeight w:val="175"/>
        </w:trPr>
        <w:tc>
          <w:tcPr>
            <w:tcW w:w="4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Indication</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Second Indication</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Indication</w:t>
            </w:r>
          </w:p>
        </w:tc>
      </w:tr>
      <w:tr>
        <w:trPr>
          <w:trHeight w:val="182"/>
        </w:trPr>
        <w:tc>
          <w:tcPr>
            <w:tcW w:w="4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Upon administration of an applicable product to the</w:t>
            </w:r>
          </w:p>
        </w:tc>
        <w:tc>
          <w:tcPr>
            <w:tcW w:w="4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first patient in the first Phase 3 clinical trial for such</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6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product for the given indication</w:t>
            </w:r>
          </w:p>
        </w:tc>
        <w:tc>
          <w:tcPr>
            <w:tcW w:w="1880" w:type="dxa"/>
            <w:vAlign w:val="bottom"/>
            <w:gridSpan w:val="3"/>
            <w:shd w:val="clear" w:color="auto" w:fill="CCEEFF"/>
          </w:tcPr>
          <w:p>
            <w:pPr>
              <w:jc w:val="center"/>
              <w:ind w:right="400"/>
              <w:spacing w:after="0" w:line="203" w:lineRule="exact"/>
              <w:rPr>
                <w:sz w:val="20"/>
                <w:szCs w:val="20"/>
                <w:color w:val="auto"/>
              </w:rPr>
            </w:pPr>
            <w:r>
              <w:rPr>
                <w:rFonts w:ascii="Arial" w:cs="Arial" w:eastAsia="Arial" w:hAnsi="Arial"/>
                <w:sz w:val="18"/>
                <w:szCs w:val="18"/>
                <w:color w:val="auto"/>
                <w:w w:val="96"/>
              </w:rPr>
              <w:t>$ 35,000</w:t>
            </w:r>
          </w:p>
        </w:tc>
        <w:tc>
          <w:tcPr>
            <w:tcW w:w="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25,250</w:t>
            </w:r>
          </w:p>
        </w:tc>
        <w:tc>
          <w:tcPr>
            <w:tcW w:w="740" w:type="dxa"/>
            <w:vAlign w:val="bottom"/>
            <w:gridSpan w:val="2"/>
            <w:shd w:val="clear" w:color="auto" w:fill="CCEEFF"/>
          </w:tcPr>
          <w:p>
            <w:pPr>
              <w:jc w:val="center"/>
              <w:ind w:right="60"/>
              <w:spacing w:after="0" w:line="203" w:lineRule="exact"/>
              <w:rPr>
                <w:sz w:val="20"/>
                <w:szCs w:val="20"/>
                <w:color w:val="auto"/>
              </w:rPr>
            </w:pPr>
            <w:r>
              <w:rPr>
                <w:rFonts w:ascii="Arial" w:cs="Arial" w:eastAsia="Arial" w:hAnsi="Arial"/>
                <w:sz w:val="18"/>
                <w:szCs w:val="18"/>
                <w:color w:val="auto"/>
                <w:w w:val="96"/>
              </w:rPr>
              <w:t>$ 17,500</w:t>
            </w:r>
          </w:p>
        </w:tc>
      </w:tr>
    </w:tbl>
    <w:p>
      <w:pPr>
        <w:spacing w:after="0" w:line="215"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A break out of the milestone payments in connection with the potential achievement of certain regulatory events for each of the three indications, for each of the three geographic areas, is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54"/>
              <w:spacing w:after="0"/>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Second</w:t>
            </w:r>
          </w:p>
        </w:tc>
        <w:tc>
          <w:tcPr>
            <w:tcW w:w="380" w:type="dxa"/>
            <w:vAlign w:val="bottom"/>
          </w:tcPr>
          <w:p>
            <w:pPr>
              <w:spacing w:after="0"/>
              <w:rPr>
                <w:sz w:val="14"/>
                <w:szCs w:val="14"/>
                <w:color w:val="auto"/>
              </w:rPr>
            </w:pPr>
          </w:p>
        </w:tc>
        <w:tc>
          <w:tcPr>
            <w:tcW w:w="680" w:type="dxa"/>
            <w:vAlign w:val="bottom"/>
          </w:tcPr>
          <w:p>
            <w:pPr>
              <w:jc w:val="right"/>
              <w:ind w:right="76"/>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Indication</w:t>
            </w:r>
          </w:p>
        </w:tc>
        <w:tc>
          <w:tcPr>
            <w:tcW w:w="3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Indication</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Indication</w:t>
            </w:r>
          </w:p>
        </w:tc>
        <w:tc>
          <w:tcPr>
            <w:tcW w:w="38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56,250</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$ 37,500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European Union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45,000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22,500</w:t>
            </w:r>
          </w:p>
        </w:tc>
        <w:tc>
          <w:tcPr>
            <w:tcW w:w="3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67,500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165,000</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123,750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$ 82,500</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371,250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We are also eligible to receive commercial milestone payments of up to $125.0 million payable for such licensed product. We are also eligible to receive royalties at ascending low double digit to mid-teen percentage rates, depending on the level of net sales Merck achieves worldwide for each licensed compound.</w:t>
      </w:r>
    </w:p>
    <w:p>
      <w:pPr>
        <w:spacing w:after="0" w:line="203"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If Merck does not exercise its license option to a compound and we commercialize that compound or its related molecules, we will owe Merck royalties at low single digit rates. If Merck exercises its license option but then terminates its license to a program, such as the GDF15 receptor agonist program, and we take compounds in that program forward, we also owe Merck royalties on sales of those compounds, at low single digit rates.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Termination</w:t>
      </w:r>
    </w:p>
    <w:p>
      <w:pPr>
        <w:spacing w:after="0" w:line="122" w:lineRule="exact"/>
        <w:rPr>
          <w:sz w:val="20"/>
          <w:szCs w:val="20"/>
          <w:color w:val="auto"/>
        </w:rPr>
      </w:pPr>
    </w:p>
    <w:p>
      <w:pPr>
        <w:ind w:left="200" w:right="440" w:firstLine="551"/>
        <w:spacing w:after="0"/>
        <w:rPr>
          <w:sz w:val="20"/>
          <w:szCs w:val="20"/>
          <w:color w:val="auto"/>
        </w:rPr>
      </w:pPr>
      <w:r>
        <w:rPr>
          <w:rFonts w:ascii="Arial" w:cs="Arial" w:eastAsia="Arial" w:hAnsi="Arial"/>
          <w:sz w:val="18"/>
          <w:szCs w:val="18"/>
          <w:color w:val="auto"/>
        </w:rPr>
        <w:t>After the research phase, Merck may terminate the overall agreement for convenience upon written notice. Subject to certain limitations, Merck may partially terminate the agreement for convenience as it relates to any Optioned Program, such as NGM313, on written notice. It may also terminate the agreement as it relates to its rights to research and develop small molecule compounds.</w:t>
      </w:r>
    </w:p>
    <w:p>
      <w:pPr>
        <w:spacing w:after="0" w:line="203" w:lineRule="exact"/>
        <w:rPr>
          <w:sz w:val="20"/>
          <w:szCs w:val="20"/>
          <w:color w:val="auto"/>
        </w:rPr>
      </w:pPr>
    </w:p>
    <w:p>
      <w:pPr>
        <w:ind w:left="200" w:right="200" w:firstLine="551"/>
        <w:spacing w:after="0" w:line="236" w:lineRule="auto"/>
        <w:rPr>
          <w:sz w:val="20"/>
          <w:szCs w:val="20"/>
          <w:color w:val="auto"/>
        </w:rPr>
      </w:pPr>
      <w:r>
        <w:rPr>
          <w:rFonts w:ascii="Arial" w:cs="Arial" w:eastAsia="Arial" w:hAnsi="Arial"/>
          <w:sz w:val="18"/>
          <w:szCs w:val="18"/>
          <w:color w:val="auto"/>
        </w:rPr>
        <w:t>Either we or Merck may terminate the agreement with respect to the GDF15 program or with respect to a specific Optioned Program if the other party is in material breach of its obligations regarding that specific program and fails to cure the breach within the specified cure period.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GDF15 program or the relevant Optioned Program and if Merck terminates for our breach with respect to an Optioned Program and there are no other Optioned Programs at such time, then we would also be required to commence repaying any Advanced Amounts outstanding with respect to such Optioned Products. If we had exercised our option to participate in global cost and profit sharing of one or more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licensed compounds arising from the program as of the time of termination, the option would remain in effect.</w:t>
      </w:r>
    </w:p>
    <w:p>
      <w:pPr>
        <w:spacing w:after="0" w:line="212"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If we terminate the GDF15 program or an Optioned Program for uncured breach by Merck, or if Merck terminates a program for convenience, all licenses granted to Merck with respect to such program will terminate and Merck will grant to us an exclusive license under Merck’s intellectual property related to the terminated program, for use in the further development and commercialization of products arising under the terminated program, subject to the payment of a modest royalty back to Merck, assign to us all related regulatory filings and approvals, and provide certain other transition assistance to us. On March 1, 2019, Merck notified us of its intent to terminate its license to the GDF15 program, effective May 31, 2019.</w:t>
      </w:r>
    </w:p>
    <w:p>
      <w:pPr>
        <w:spacing w:after="0" w:line="205"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Merck also has the right to terminate the agreement for convenience, and for uncured material breach by us, on written notice as it relates to its license to any particular licensed small molecule compound. We in turn have the right to terminate if Merck has failed to cure any material breach as it relates to any licensed small molecule compound. If Merck terminates for convenience, or we terminate for such breach by Merck, all licenses to Merck with respect to the relevant small molecule compound terminate, but Merck retains all interest in and to the actual small molecule compound it had developed. If Merck terminates for our uncured material breach, we would continue to receive the full amount of milestones and royalties we were otherwise eligible for with respect to the relevant compounds, but we would lose our rights to participate in the various governance committees as they relate to those small molecule program compounds.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Effect of our Change in Control and Certain Competitive Acquisitions</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If we undergo any change in control, which includes the acquisition of us by any third party, or the sale of all or substantially all of our assets relating to the Merck agreement to a third party, or the sale of more than 50% of our voting stock to a third party, Merck has the right to terminate our research and early development program, in its entirety, or only with respect to certain of the programs then being pursued. If it does so, all funding for the terminated programs would cease, and we would transition, at Merck’s expense, to Merck any clinical studies then being conducted by us if directed by Merck. If Merck takes over the studies, it would continue to have the option to license a particular program upon completion of the first proof-of-concept study, but if Merck ceases development of the compounds prior to such proof-of-concept study, the program would revert back to us and Merck would have no further rights.</w:t>
      </w:r>
    </w:p>
    <w:p>
      <w:pPr>
        <w:spacing w:after="0" w:line="20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If our change in control involves another pharmaceutical company with significant annual sales of pharmaceutical products, which we refer to as a Pharma Acquisition, Merck would have certain additional rights which could only be exercised within the first year following the Pharma Acquisition. These include: limiting our right to cost and profit share; Merck ceasing to provide any additional Advanced Amounts with respect to one or more Optioned Programs; and requiring us to repay any or all then-outstanding Advanced Amounts, plus interest, in installments; and termination of our co-detailing rights. Merck would also have the right following any Pharma Acquisition to terminate or restrict our participation on our various governance committees, and to limit the information it provides to us to higher level summaries.</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If our acquirer in the event of a change in control is at that time pursuing research, development, commercialization, manufacturing or otherwise has any rights to any compounds that modulate a target that is the subject of an Optioned Program, which we refer to as a Competing Mature Program, Merck also has certain rights, unless our acquirer elects to cease those research, development and commercialization activities. These rights include: Merck ceasing to provide any additional Advanced Amounts with respect to any compounds arising from the Optioned Program that have the same target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60"/>
          </w:cols>
          <w:pgMar w:left="24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as the Competing Mature Program, and requiring us to repay any or all then-outstanding Advanced Amounts, plus interest, in installments, with respect to any compounds arising from that Optioned Program, and termination of our co-detailing rights with respect to the relevant compounds, termination of our participation in governance committees with respect to those compounds, and restrictions on the information we receive from Merck with respect to the compounds. However, our rights to share in costs/profits with respect to any such compounds, if exercised, would remain in effect, as would any milestone or royalty payment obligations of Merck with respect to the compounds.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addition, if our acquirer in the event of a change in control is at that time researching, developing, manufacturing or otherwise has rights to any compounds that modulate a target that is also being actively pursued under our research and early development program, and which has not reached the proof-of-concept study stage but is ready for preclinical development, which we refer to as a Competing Early Program, Merck has the right to require us to select either to provide information demonstrating that the Competing Early Program does not actually modulate the relevant target in the same manner as our candidate, or to contribute the Competing Early Program to our collaboration with Merck as though it had originated under our research and early development program, or to divest the Competing Early Program. If we contribute the Competing Early Program to our collaboration with Merck, all the same financial obligations of Merck would apply, and we would retain all of our option rights with respect to the relevant compounds if Merck exercises its license option when the first compound arising under the program completes the first proof-of-concept study.</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Investments by Merck</w:t>
      </w:r>
    </w:p>
    <w:p>
      <w:pPr>
        <w:spacing w:after="0" w:line="122" w:lineRule="exact"/>
        <w:rPr>
          <w:sz w:val="20"/>
          <w:szCs w:val="20"/>
          <w:color w:val="auto"/>
        </w:rPr>
      </w:pPr>
    </w:p>
    <w:p>
      <w:pPr>
        <w:ind w:left="200" w:right="320" w:firstLine="551"/>
        <w:spacing w:after="0" w:line="234" w:lineRule="auto"/>
        <w:rPr>
          <w:sz w:val="20"/>
          <w:szCs w:val="20"/>
          <w:color w:val="auto"/>
        </w:rPr>
      </w:pPr>
      <w:r>
        <w:rPr>
          <w:rFonts w:ascii="Arial" w:cs="Arial" w:eastAsia="Arial" w:hAnsi="Arial"/>
          <w:sz w:val="18"/>
          <w:szCs w:val="18"/>
          <w:color w:val="auto"/>
        </w:rPr>
        <w:t>Concurrently with the execution of our collaboration with Merck, we entered into a stock purchase agreement with Merck for the purchase of 8,833,333 shares of our Series E convertible preferred stock, for an aggregate purchase price of approximately</w:t>
      </w:r>
    </w:p>
    <w:p>
      <w:pPr>
        <w:spacing w:after="0" w:line="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$106.0 million. Under a letter agreement entered in connection with this investment, Merck has the irrevocable option to purchase and, if it does not, we have the irrevocable option to require Merck to purchase, an additional amount of our shares of our common stock pursuant to a private placement conducted in parallel with this offering, up to a limit of the number of shares that will result in Merck owning approximately 19.9% of our outstanding shares, at the same price per share as offered to the public. If Merck elects to further extend the research phase of our collaboration until March 17, 2024, it has the option to purchase an additional $5.0 million of our common stock at a price per share equal to the last closing price of our shares on the date it notifies us of its desire to exercise such option, with such option subject to an overall cap on Merck’s ownership interest of 19.9%.</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Standstill, Lock-Up and Voting Agreements</w:t>
      </w:r>
    </w:p>
    <w:p>
      <w:pPr>
        <w:spacing w:after="0" w:line="12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 letter agreement also includes standstill provisions that provide that for the period that ends on the earlier of the end of our initial five-year research phase, the announcement of our intent to consummate a change in control transaction (subject to certain exceptions) or the termination of our collaboration agreement, neither Merck nor its representatives will, directly or indirectly, among other things, (i) acquire any of our securities to the extent it would result in Merck owning more than 19.9% of our shares, (ii) solicit proxies for our securities, (iii) participate in a business combination involving us, or take any action that might result in us having to make a public announcement about (i) or (ii), seek to influence our management or policies, except that Merck is not precluded from making confidential, non-public proposals to us or third parties with our express consent. In addition, during the period that ends on the earlier of the end of our initial five-year research phase, the termination of the collaboration agreement or the date on which Merck’s ownership of our securities drops below 5%, Merck has granted a proxy to the chairman of our board of directors to vote Merck’s shares in favor of any action recommended and approved by our board of directors, subject to certain exceptions. Merck has also agreed, subject to specified exceptions, and during the period of our five-year initial research phase, not to sell any of its shares of our capital stock (subject to certain limited exceptions).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34"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05"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02" w:lineRule="exact"/>
        <w:rPr>
          <w:sz w:val="20"/>
          <w:szCs w:val="20"/>
          <w:color w:val="auto"/>
        </w:rPr>
      </w:pPr>
    </w:p>
    <w:p>
      <w:pPr>
        <w:ind w:left="960" w:right="26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 regulation;</w:t>
      </w:r>
    </w:p>
    <w:p>
      <w:pPr>
        <w:spacing w:after="0" w:line="102"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2" w:lineRule="exact"/>
        <w:rPr>
          <w:rFonts w:ascii="Arial" w:cs="Arial" w:eastAsia="Arial" w:hAnsi="Arial"/>
          <w:sz w:val="18"/>
          <w:szCs w:val="18"/>
          <w:color w:val="auto"/>
        </w:rPr>
      </w:pPr>
    </w:p>
    <w:p>
      <w:pPr>
        <w:ind w:left="960" w:right="70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02"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 license application, or BLA, after completion of all pivotal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960" w:hanging="216"/>
        <w:spacing w:after="0" w:line="239"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current Good Clinical Practices, or cGCP; and</w:t>
      </w:r>
    </w:p>
    <w:p>
      <w:pPr>
        <w:spacing w:after="0" w:line="10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0"/>
        <w:spacing w:after="0"/>
        <w:rPr>
          <w:sz w:val="20"/>
          <w:szCs w:val="20"/>
          <w:color w:val="auto"/>
        </w:rPr>
      </w:pPr>
      <w:r>
        <w:rPr>
          <w:rFonts w:ascii="Arial" w:cs="Arial" w:eastAsia="Arial" w:hAnsi="Arial"/>
          <w:sz w:val="18"/>
          <w:szCs w:val="18"/>
          <w:color w:val="auto"/>
        </w:rPr>
        <w:t>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95" w:lineRule="exact"/>
        <w:rPr>
          <w:sz w:val="20"/>
          <w:szCs w:val="20"/>
          <w:color w:val="auto"/>
        </w:rPr>
      </w:pPr>
    </w:p>
    <w:p>
      <w:pPr>
        <w:ind w:left="960" w:right="140" w:hanging="216"/>
        <w:spacing w:after="0" w:line="24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79" w:lineRule="exact"/>
        <w:rPr>
          <w:rFonts w:ascii="Arial" w:cs="Arial" w:eastAsia="Arial" w:hAnsi="Arial"/>
          <w:sz w:val="18"/>
          <w:szCs w:val="18"/>
          <w:color w:val="auto"/>
        </w:rPr>
      </w:pPr>
    </w:p>
    <w:p>
      <w:pPr>
        <w:ind w:left="960" w:hanging="216"/>
        <w:spacing w:after="0" w:line="24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The investigational product is administered to a limited patient population with a specified disease or condition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9" w:lineRule="exact"/>
        <w:rPr>
          <w:rFonts w:ascii="Arial" w:cs="Arial" w:eastAsia="Arial" w:hAnsi="Arial"/>
          <w:sz w:val="18"/>
          <w:szCs w:val="18"/>
          <w:color w:val="auto"/>
        </w:rPr>
      </w:pPr>
    </w:p>
    <w:p>
      <w:pPr>
        <w:ind w:left="960" w:right="140" w:hanging="216"/>
        <w:spacing w:after="0" w:line="24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60"/>
          </w:cols>
          <w:pgMar w:left="24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tested and stability studies must be conducted to demonstrate that the product candidate does not undergo unacceptable deterioration over its shelf life.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26"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38" w:lineRule="auto"/>
        <w:rPr>
          <w:sz w:val="20"/>
          <w:szCs w:val="20"/>
          <w:color w:val="auto"/>
        </w:rPr>
      </w:pPr>
      <w:r>
        <w:rPr>
          <w:rFonts w:ascii="Arial" w:cs="Arial" w:eastAsia="Arial" w:hAnsi="Arial"/>
          <w:sz w:val="18"/>
          <w:szCs w:val="18"/>
          <w:color w:val="auto"/>
        </w:rPr>
        <w:t>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Accelerated Approval Program</w:t>
      </w:r>
    </w:p>
    <w:p>
      <w:pPr>
        <w:spacing w:after="0" w:line="126"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Any marketing application for a biologic submitted to the FDA for approval may be eligible for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(Subpart H and E regulations)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07"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Priority review and accelerated approval do not change the standards for approval but may expedite the development or approval process.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203" w:lineRule="exact"/>
        <w:rPr>
          <w:sz w:val="20"/>
          <w:szCs w:val="20"/>
          <w:color w:val="auto"/>
        </w:rPr>
      </w:pPr>
    </w:p>
    <w:p>
      <w:pPr>
        <w:ind w:left="200" w:right="320" w:firstLine="551"/>
        <w:spacing w:after="0" w:line="237"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11" w:lineRule="exact"/>
        <w:rPr>
          <w:sz w:val="20"/>
          <w:szCs w:val="20"/>
          <w:color w:val="auto"/>
        </w:rPr>
      </w:pPr>
    </w:p>
    <w:p>
      <w:pPr>
        <w:ind w:left="960" w:right="520" w:hanging="216"/>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7"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26"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203"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20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8"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26"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In the United States, our current and future operations are subject to regulation by various federal, state and local authorities in addition to the FDA, including but not limited to, the Centers for Medicare and Medicaid Services, or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abuse provisions of the Social Security Act, the false claims laws, the privacy and security provisions of the Health Insurance Portability and Accountability Act, or HIPAA, and similar state laws, each as amended, as applicable.</w:t>
      </w:r>
    </w:p>
    <w:p>
      <w:pPr>
        <w:spacing w:after="0" w:line="19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205"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as amended by the Health Care and Education Reconciliation Act of 2010, or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or FCA (discussed below).</w:t>
      </w:r>
    </w:p>
    <w:p>
      <w:pPr>
        <w:spacing w:after="0" w:line="205"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The federal false claims and civil monetary penalty laws, including the FCA, which imposes significant penalties and can be enforced by private citizens through civil qui tam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60"/>
          </w:cols>
          <w:pgMar w:left="24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firstLine="551"/>
        <w:spacing w:after="0" w:line="246" w:lineRule="auto"/>
        <w:rPr>
          <w:sz w:val="20"/>
          <w:szCs w:val="20"/>
          <w:color w:val="auto"/>
        </w:rPr>
      </w:pPr>
      <w:r>
        <w:rPr>
          <w:rFonts w:ascii="Arial" w:cs="Arial" w:eastAsia="Arial" w:hAnsi="Arial"/>
          <w:sz w:val="18"/>
          <w:szCs w:val="18"/>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197"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may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 care program that provides health care benefits to the aged and disabled, and covers outpatient services and supplies, including certain pharmaceutical products, that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Under the 340B Drug Pricing Program, the manufacturer must extend discounts to entities that participate in the program.</w:t>
      </w:r>
    </w:p>
    <w:p>
      <w:pPr>
        <w:spacing w:after="0" w:line="207"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20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80"/>
        <w:spacing w:after="0"/>
        <w:rPr>
          <w:sz w:val="20"/>
          <w:szCs w:val="20"/>
          <w:color w:val="auto"/>
        </w:rPr>
      </w:pPr>
      <w:r>
        <w:rPr>
          <w:rFonts w:ascii="Arial" w:cs="Arial" w:eastAsia="Arial" w:hAnsi="Arial"/>
          <w:sz w:val="18"/>
          <w:szCs w:val="18"/>
          <w:color w:val="auto"/>
        </w:rPr>
        <w:t>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203"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26"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 -party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205" w:lineRule="exact"/>
        <w:rPr>
          <w:sz w:val="20"/>
          <w:szCs w:val="20"/>
          <w:color w:val="auto"/>
        </w:rPr>
      </w:pPr>
    </w:p>
    <w:p>
      <w:pPr>
        <w:ind w:left="200" w:right="40" w:firstLine="551"/>
        <w:spacing w:after="0" w:line="255"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therapeutics they will pay for and establish reimbursement levels. Coverage and reimbursement by a third-party payor may depend upon a number of factors, including the third-party payor’s determination that use of a therapeutic is:</w:t>
      </w:r>
    </w:p>
    <w:p>
      <w:pPr>
        <w:spacing w:after="0" w:line="96"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covered benefit under its health plan;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cannot be sure that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20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204"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207"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240" w:top="460"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attained for one or more products for which we receive regulatory approval, less favorable coverage policies and reimbursement rates may be implemented in the future.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05"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108" w:lineRule="exact"/>
        <w:rPr>
          <w:sz w:val="20"/>
          <w:szCs w:val="20"/>
          <w:color w:val="auto"/>
        </w:rPr>
      </w:pPr>
    </w:p>
    <w:p>
      <w:pPr>
        <w:ind w:left="960" w:right="60" w:hanging="216"/>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108" w:lineRule="exact"/>
        <w:rPr>
          <w:rFonts w:ascii="Arial" w:cs="Arial" w:eastAsia="Arial" w:hAnsi="Arial"/>
          <w:sz w:val="18"/>
          <w:szCs w:val="18"/>
          <w:color w:val="auto"/>
        </w:rPr>
      </w:pPr>
    </w:p>
    <w:p>
      <w:pPr>
        <w:ind w:left="960" w:right="80" w:hanging="216"/>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108" w:lineRule="exact"/>
        <w:rPr>
          <w:rFonts w:ascii="Arial" w:cs="Arial" w:eastAsia="Arial" w:hAnsi="Arial"/>
          <w:sz w:val="18"/>
          <w:szCs w:val="18"/>
          <w:color w:val="auto"/>
        </w:rPr>
      </w:pPr>
    </w:p>
    <w:p>
      <w:pPr>
        <w:ind w:left="960" w:hanging="216"/>
        <w:spacing w:after="0" w:line="239"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w:t>
      </w:r>
    </w:p>
    <w:p>
      <w:pPr>
        <w:spacing w:after="0" w:line="107"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02" w:lineRule="exact"/>
        <w:rPr>
          <w:rFonts w:ascii="Arial" w:cs="Arial" w:eastAsia="Arial" w:hAnsi="Arial"/>
          <w:sz w:val="18"/>
          <w:szCs w:val="18"/>
          <w:color w:val="auto"/>
        </w:rPr>
      </w:pPr>
    </w:p>
    <w:p>
      <w:pPr>
        <w:ind w:left="960" w:right="480" w:hanging="216"/>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Discount Program;</w:t>
      </w:r>
    </w:p>
    <w:p>
      <w:pPr>
        <w:spacing w:after="0" w:line="117" w:lineRule="exact"/>
        <w:rPr>
          <w:rFonts w:ascii="Arial" w:cs="Arial" w:eastAsia="Arial" w:hAnsi="Arial"/>
          <w:sz w:val="18"/>
          <w:szCs w:val="18"/>
          <w:color w:val="auto"/>
        </w:rPr>
      </w:pPr>
    </w:p>
    <w:p>
      <w:pPr>
        <w:ind w:left="960" w:right="800" w:hanging="216"/>
        <w:spacing w:after="0" w:line="246"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2"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FCA and the Anti-Kickback Statute, new government investigative powers, and enhanced penalties for noncompliance;</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960" w:right="540" w:hanging="216"/>
        <w:spacing w:after="0" w:line="246"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requirement to annually report certain information regarding drug samples that manufacturers and distributors provide to physicians;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80" w:hanging="216"/>
        <w:spacing w:after="0" w:line="246"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212"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Some of the provisions of the Affordable Care Act have yet to be implemented, and there have been legal and political challenges to certain aspects of the Affordable Care Act. Since January 2017, President Trump has signed two executive orders and other directives designed to delay, circumvent or loosen certain requirements mandated by the Affordable Care Act. In December 2017, Congress repealed the tax penalty for an individual’s failure to maintain Affordable Care Act-mandated health insurance as part of a tax reform bill. Further,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Moreover, the Bipartisan Budget Act of 2018, or the BBA, among other things, amends the Affordable Care Act, effective January 1, 2019, to close the coverage gap in most Medicare drug plans, commonly referred to as the “donut hole”. More recently, in July 2018, CMS announced that it is suspending further collections and payments to and from certain Affordable Care Act qualified health plans and health insurance issuers under the Affordable Care Act risk adjustment program pending the outcome of federal district court litigation regarding the method CMS uses to determine this risk adjustment. Congress is continuing to consider legislation that would alter other aspects of the Affordable Care Act. The ultimate content, timing or effect of any healthcare reform legislation on the U.S. healthcare industry is unclear.</w:t>
      </w:r>
    </w:p>
    <w:p>
      <w:pPr>
        <w:spacing w:after="0" w:line="203"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On December 14, 2018, a United States District Court judge in Texas ruled that the Affordable Care Act is unconstitutional in its entirety because the “individual mandate” was repealed by Congress as part of the Tax Cuts and Jobs Act of 2017. Multiple parties have announced an intention to appeal this decision to the United States Court of Appeals for the Fifth Circuit.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w:t>
      </w:r>
    </w:p>
    <w:p>
      <w:pPr>
        <w:spacing w:after="0" w:line="205"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anticipate that the Affordable Care Act,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which went into effect beginning on April 1, 2013 and will stay in effect through 2027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02"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already started the process of soliciting feedback on some of these measures and, at the same, is immediately implementing others under its existing authority. While some proposed measures will require authorization through additional legislation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26"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Although we believe that we hold a leading position in research into cardio-metabolic disease and NASH, our competitors may be able to develop other compounds or drugs that are able to achieve similar or better results. Our competitors include multinational pharmaceutical companies, specialized biotechnology companies and universities and other research institutions. Smaller or earlier-stage companies may also prove to be significant competitors, particularly through collaborative arrangements with large, established companies. We believe the key competitive factors that will affect the development and commercial success of our product candidates are efficacy, safety and tolerability profile, reliability, convenience of dosing, price, the level of generic competition and reimbursement.</w:t>
      </w:r>
    </w:p>
    <w:p>
      <w:pPr>
        <w:spacing w:after="0" w:line="203" w:lineRule="exact"/>
        <w:rPr>
          <w:sz w:val="20"/>
          <w:szCs w:val="20"/>
          <w:color w:val="auto"/>
        </w:rPr>
      </w:pPr>
    </w:p>
    <w:p>
      <w:pPr>
        <w:ind w:left="200" w:right="140" w:firstLine="551"/>
        <w:spacing w:after="0" w:line="236" w:lineRule="auto"/>
        <w:rPr>
          <w:sz w:val="20"/>
          <w:szCs w:val="20"/>
          <w:color w:val="auto"/>
        </w:rPr>
      </w:pPr>
      <w:r>
        <w:rPr>
          <w:rFonts w:ascii="Arial" w:cs="Arial" w:eastAsia="Arial" w:hAnsi="Arial"/>
          <w:sz w:val="18"/>
          <w:szCs w:val="18"/>
          <w:color w:val="auto"/>
        </w:rPr>
        <w:t>There are many pharmaceutical companies, biotechnology companies, public and private universities and research organizations actively engaged in the research and development of products that may be similar to our products.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89Bio, Akero, Albireo, Amgen, Can-Fite, Cirius, Conatus, CymaBay, Enanta, Galectin, Galmed, Genfit, Gilead, Intarcia, Intercept, Inventiva, Madrigal, MannKind, MediciNova, Metacrine, Nalpropion, Terns, Viking, Vivus and Zafgen, are pursuing the development or marketing of pharmaceuticals that target the same diseases that we are targeting. It is probable that the number of companies seeking to develop products and therapies for the treatment of metabolic disorders, liver, oncologic and ophthalmic diseases will increase. For example, we are aware of other companies, including Enanta, Gilead, Intercept, Metacrine, Novartis and Terns that are seeking to develop FXR agonist drug candidates that modulate FGF19. Many of these and other existing or potential competitors have substantially greater financial, technical, human and other resources than we have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from Intercept; MGL-3196, a beta-thyroid hormone receptor agonist from Madrigal; pegbelfermin, a PEGylated FGF21, from Bristol-Myers Squibb; elobixibat, an IBAT-inhibitor from Albireo; a Galectin-3 inhibitor from Galectin; a synthetic conjugate of cholic acid and arachidic acid from Galmed; an FXR agonist from Metacrine; FXR agonists from Novartis; a mitochondrial pyruvate complex modulator from Cirius; a PPAR delta agonist from CymaBay; and a PPAR alpha/delta agonist from Genfit. The foregoing competitive risks apply to NGM282 and NGM313 and any variants of NGM282 and NGM313 we may commercialize, including the second-generation, half-life extended version of FGF19 we are currently developing.</w:t>
      </w:r>
    </w:p>
    <w:p>
      <w:pPr>
        <w:spacing w:after="0" w:line="208"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80"/>
          </w:cols>
          <w:pgMar w:left="24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 xml:space="preserve">(bupropion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Lilly’s LY3298176 (dual GLP-1/GIP receptor agonist).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and oral GLP-1 mimetics (Novo Nordisk). Some of these programs have been advanced further in clinical development than our product candidates and could receive approval before our product candidates are approved, if they are approved at all.</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Manufacturing</w:t>
      </w:r>
    </w:p>
    <w:p>
      <w:pPr>
        <w:spacing w:after="0" w:line="234"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We currently use third-party manufacturers to manufacture clinical quantities of NGM282, NGM313, NGM386, NGM395, NGM217, NGM120 and NGM621. As we advance our product candidates through clinical development and greater quantities of our biological molecules are required, we plan to continue to use third parties to manufacture our product candidates.</w:t>
      </w:r>
    </w:p>
    <w:p>
      <w:pPr>
        <w:spacing w:after="0" w:line="203"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We also plan to rely on third parties to manufacture commercial quantities of any products we successfully develop. Among the conditions for FDA approval of a pharmaceutical product is the requirement that the manufacturer’s quality control and manufacturing procedures conform to cGMP, which must be followed at all times. The FDA typically inspects manufacturing facilities every two years. In complying with cGMP regulations, pharmaceutical manufacturers must expend resources and time to ensure compliance with product specifications as well as production, record keeping, quality control, reporting, and other requirements.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We currently have no marketing, sales or distribution capabilities. In order to commercialize any products outside of our existing collaborations that are approved for commercial sale, we must either develop a sales and marketing infrastructure or collaborate with third parties that have sales and marketing experience.</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We may elect to establish our own sales force to market and sell a product for which we obtain regulatory approval if we elect to exercise our co-detail option on a product candidate from our collaboration with Merck or if we expect that the geographic market for a product we develop on our own is limited or that the prescriptions for the product will be written principally by a relatively small number of physicians. If we decide to market and sell any products ourselves, we do not expect to establish direct sales capability until shortly before the products are approved for commercial sale.</w:t>
      </w:r>
    </w:p>
    <w:p>
      <w:pPr>
        <w:spacing w:after="0" w:line="203"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We plan to seek third-party support from established pharmaceutical and biotechnology companies, such as Merck, for those products that would benefit from the promotional support of a</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240" w:top="460"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large sales and marketing force. In these cases, we might seek to promote our products in collaboration with marketing partners or rely on relationships with one or more companies with large established sales forces and distribution systems.</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 We seek to protect our biological molecules and technologies by, among other methods, filing U.S. and foreign patent applications related to our proprietary technology, inventions and improvements that are important to the development of our business, where patent protection is available. We also rely on trade secrets, know-how, continuing technological innovation and in-licensing of third-party intellectual property to develop and maintain our proprietary position. We, or our collaborator, file patent applications directed to our key product candidates in an effort to establish intellectual property positions regarding new biological molecules relating to our product candidates as well as uses of our product candidates and/or new biological molecules for the treatment of diseases.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Licensing Arrangements</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In October 2014, we entered into a Multi-Product Licence Agreement, or the Lonza License, with Lonza Sales AG, or Lonza, under which we obtained from Lonza a worldwide, non-exclusive license to use Lonza’s glutamine synthetase gene expression system, known as GS Xceed™, to manufacture and commercialize our proprietary products, including our product candidates that are currently subject to our collaboration with Merck.</w:t>
      </w:r>
    </w:p>
    <w:p>
      <w:pPr>
        <w:spacing w:after="0" w:line="20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Pursuant to the Lonza License, we paid Lonza an upfront fee of £250,000. Upon the initiation of the first phase 2 clinical trial, the first phase 3 clinical trial and the first commercial sale of any product manufactured using GS Xceed™, we are required to pay Lonza one-time milestone payments of £100,000, £100,000 and £150,000, respectively.</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We are also required to pay low single-digit royalties to Lonza based on net sales of the product manufactured using GS Xceed™. Our royalty obligation to Lonza continues on a product-by-product basis until the later of the expiration of the last-to-expire licensed patent or ten years after the first commercial sale of the product. We are also required to pay an annual license fee to Lonza of up to £300,000 per product if a party other than Lonza, we, our affiliates or our strategic partners (including Merck) manufactures the product for commercial activities. We are currently required to pay this fee for NGM313, NGM386, NGM395, NGM217, NGM120 and NGM621.</w:t>
      </w:r>
    </w:p>
    <w:p>
      <w:pPr>
        <w:spacing w:after="0" w:line="203"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Lonza License continues until the expiration of the royalty term. We have the right to terminate the Lonza License upon written notice to Lonza. Each party may terminate the Lonza License for the other party’s uncured material breach or bankruptcy. In addition, Lonza may terminate the Lonza License if we participate in the opposition or challenge of any Lonza patent or patent application licensed to us under the Lonza License.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Patents and Other Proprietary Rights</w:t>
      </w:r>
    </w:p>
    <w:p>
      <w:pPr>
        <w:spacing w:after="0" w:line="126"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As of January 31, 2019, we owned 27 issued U.S. patents and 32 pending U.S. patent applications (six of which are provisional applications) along with 29 issued patents and approximately 241 corresponding patent applications in foreign jurisdictions (five of which are Patent Cooperation</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60"/>
          </w:cols>
          <w:pgMar w:left="240" w:top="460"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spacing w:after="0" w:line="239" w:lineRule="auto"/>
        <w:rPr>
          <w:sz w:val="20"/>
          <w:szCs w:val="20"/>
          <w:color w:val="auto"/>
        </w:rPr>
      </w:pPr>
      <w:r>
        <w:rPr>
          <w:rFonts w:ascii="Arial" w:cs="Arial" w:eastAsia="Arial" w:hAnsi="Arial"/>
          <w:sz w:val="18"/>
          <w:szCs w:val="18"/>
          <w:color w:val="auto"/>
        </w:rPr>
        <w:t>Treaty, or PCT, applications), associated with, for example, the treatment of, cardio-metabolic, liver, ophthalmic and bile acid related diseases. The issued patents and pending patent applications contain claims directed to various aspects of our work, including compositions of matter, methods of treatment, use of our product candidates in combination with certain other therapeutics and formulations.</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Patent Portfolio</w:t>
      </w:r>
    </w:p>
    <w:p>
      <w:pPr>
        <w:spacing w:after="0" w:line="122" w:lineRule="exact"/>
        <w:rPr>
          <w:sz w:val="20"/>
          <w:szCs w:val="20"/>
          <w:color w:val="auto"/>
        </w:rPr>
      </w:pPr>
    </w:p>
    <w:p>
      <w:pPr>
        <w:jc w:val="both"/>
        <w:ind w:left="200" w:right="240" w:firstLine="551"/>
        <w:spacing w:after="0" w:line="234" w:lineRule="auto"/>
        <w:rPr>
          <w:sz w:val="20"/>
          <w:szCs w:val="20"/>
          <w:color w:val="auto"/>
        </w:rPr>
      </w:pPr>
      <w:r>
        <w:rPr>
          <w:rFonts w:ascii="Arial" w:cs="Arial" w:eastAsia="Arial" w:hAnsi="Arial"/>
          <w:sz w:val="18"/>
          <w:szCs w:val="18"/>
          <w:color w:val="auto"/>
        </w:rPr>
        <w:t>Our NGM282 product candidate, and related compositions-of-matter and methods of use, are covered by fifteen U.S. patents, as well as issued patents in the following foreign countries: Australia, Japan, Malaysia, Mexico, New Zealand, Peru, and South Africa; and are disclosed and claimed in other applications that are pending in the United States and the following foreign countries and regions:</w:t>
      </w:r>
    </w:p>
    <w:p>
      <w:pPr>
        <w:spacing w:after="0" w:line="2"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Australia, Brazil, Canada, Chile, China, Egypt, the European Patent Office, or EPO, Hong Kong, India, Indonesia, Israel, Japan, Republic of Korea, Mexico, New Zealand, Philippines, Russian Federation, Singapore, South Africa, Ukraine, United Arab Emirates and Vietnam. The earliest expected expiration date for these patents and any patents issuing from these patent applications is June 2032, exclusive of possible patent term extensions or adjustments. Any changes we make to the NGM282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FGF19, the naturally occurring hormone upon which NGM282 is based, is crowded, and there can be no assurance that we would be able to secure patent protection that would adequately cover an alternative to our NGM282 molecule, including the half-life extended variant of FGF19 that we are developing.</w:t>
      </w:r>
    </w:p>
    <w:p>
      <w:pPr>
        <w:spacing w:after="0" w:line="29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NGM313 Patent Portfolio</w:t>
      </w:r>
    </w:p>
    <w:p>
      <w:pPr>
        <w:spacing w:after="0" w:line="122" w:lineRule="exact"/>
        <w:rPr>
          <w:sz w:val="20"/>
          <w:szCs w:val="20"/>
          <w:color w:val="auto"/>
        </w:rPr>
      </w:pPr>
    </w:p>
    <w:p>
      <w:pPr>
        <w:ind w:left="200" w:right="160" w:firstLine="551"/>
        <w:spacing w:after="0" w:line="236" w:lineRule="auto"/>
        <w:rPr>
          <w:sz w:val="20"/>
          <w:szCs w:val="20"/>
          <w:color w:val="auto"/>
        </w:rPr>
      </w:pPr>
      <w:r>
        <w:rPr>
          <w:rFonts w:ascii="Arial" w:cs="Arial" w:eastAsia="Arial" w:hAnsi="Arial"/>
          <w:sz w:val="18"/>
          <w:szCs w:val="18"/>
          <w:color w:val="auto"/>
        </w:rPr>
        <w:t>Our NGM313 product candidate, and related compositions-of-matter and methods of use, are covered by two issued U.S. patents and one issued Colombia patent; and are disclosed and claimed in other applications that are pending in the United States and the following foreign countries: Australia, Brazil, Canada, Chile, China, the EPO, Hong Kong, India, Indonesia, Israel, Japan, Republic of Korea, Malaysia, Mexico, New Zealand, Peru, Philippines, Russian Federation, Singapore, South Africa, Ukraine and Vietnam. The earliest expected expiration date for these patents and any patents issuing from these patent applications is January 2035, exclusive of possible patent term extensions or adjustments. Any changes we make to the NGM313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antibodies to FGFR1c/KLB is crowded, and there can be no assurance that we would be able to secure patent protection that would adequately cover an alternative to our NGM313 molecule.</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NGM386 Patent Portfolio</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NGM386 product candidate, and related compositions-of-matter and methods of use, are covered by one issued U.S. patent, one issued Lebanese patent and one issued Algerian patent; and are disclosed and claimed in other applications that are pending in the United States and the following foreign countries and regions: the African Regional Intellectual Property Organization, Argentina, Australia, Barbados, Belize, Brunei Darussalam, Brazil, Canada, Chile, China, Colombia, Costa Rica, Dominican Republic, El Salvador, Ecuador, Egypt, the Eurasian Patent Office, the EPO, Georgia, Guatemala, Gulf Cooperation Council, Honduras, Hong Kong, India, Indonesia, Iran, Israel, Jamaica, Japan, Jordan, Republic of Korea, Malaysia, Mexico, Republic of Moldova, Mongolia, New Zealand, Nicaragua, Nigeria, Pakistan, Panama, Peru, Philippines, Singapore, Sri Lanka, South Africa, Taiwan R.O.C., Thailand, Trinidad and Tobago, Tunisia, Ukraine, Venezuela and Vietnam. The earliest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expected expiration date for these patents and any patents issuing from these patent applications is July 2035, exclusive of possible patent term extensions or adjustments. Any changes we make to the NGM386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naturally-occurring hormone upon which NGM386 is based, is crowded, and there can be no assurance that we would be able to secure patent protection that would adequately cover an alternative to our NGM386 molecule.</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NGM395 Patent Portfolio</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NGM395 product candidate, and related compositions-of-matter and methods of use, are covered by one issued U.S. patent and one issued Lebanese patent; and are disclosed and claimed in other applications that are pending in the United States and the following foreign countries and regions: the African Regional Intellectual Property Organization, Algeria, Argentina, Australia, Barbados, Brazil, Brunei Darussalam, Canada, Chile, China, Colombia, Costa Rica, Dominican Republic, El Salvador, Ecuador, Egypt, the Eurasian Patent Office, the EPO, Georgia, Guatemala, Gulf Cooperation Council, Honduras, Hong Kong, India, Indonesia, Iran, Israel, Jamaica, Japan, Jordan, Republic of Korea, Malaysia, Republic of Moldova, Mongolia, Mexico, New Zealand, Nicaragua, Nigeria, Pakistan, Panama, Peru, Philippines, Singapore, Sri Lanka, South Africa, Taiwan R.O.C., Thailand, Trinidad and Tobago, Tunisia, Ukraine, Venezuela and Vietnam. The earliest expected expiration date for these patents and any patents issuing from these patent applications is October 2035, exclusive of possible patent term extensions or adjustments. Any changes we make to the NGM395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 occurring hormone upon which NGM395 is based, is crowded, and there can be no assurance that we would be able to secure patent protection that would adequately cover an alternative to our NGM395 molecule.</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NGM120 Patent Portfolio</w:t>
      </w:r>
    </w:p>
    <w:p>
      <w:pPr>
        <w:spacing w:after="0" w:line="12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Our NGM120 product candidate, and related compositions-of-matter and methods of use, are disclosed and claimed in one issued U.S. patent and in applications pending in the following foreign countries and regions: Australia, Brazil, Canada, Chile, China, Colombia, Egypt, the EPO, India, Indonesia, Israel, Japan, Republic of Korea, Malaysia, Mexico, New Zealand, Peru, Philippines, Russian Federation, Singapore, South Africa, Taiwan R.O.C., Ukraine and Vietnam. The earliest expected expiration date for this patent and any patents issuing from these patent applications is October 2037, exclusive of possible patent term extensions or adjustments. Any changes we make to the NGM120 molecule to cause it to have what we view as more advantageous properties may not be covered by our existing patent and patent applications, and we may be required to file new applications and/or seek other forms of protection for any such altered molecule. The patent landscape surrounding antibodies to GFRAL is crowded, and there can be no assurance that we would be able to secure patent protection that would adequately cover an alternative to our NGM120 molecule, nor can there be any assurance that we will obtain sufficiently broad claims to be able to prevent others from selling competing products.</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NGM217 Patent Portfolio</w:t>
      </w:r>
    </w:p>
    <w:p>
      <w:pPr>
        <w:spacing w:after="0" w:line="122" w:lineRule="exact"/>
        <w:rPr>
          <w:sz w:val="20"/>
          <w:szCs w:val="20"/>
          <w:color w:val="auto"/>
        </w:rPr>
      </w:pPr>
    </w:p>
    <w:p>
      <w:pPr>
        <w:jc w:val="both"/>
        <w:ind w:left="200" w:right="20" w:firstLine="551"/>
        <w:spacing w:after="0"/>
        <w:rPr>
          <w:sz w:val="20"/>
          <w:szCs w:val="20"/>
          <w:color w:val="auto"/>
        </w:rPr>
      </w:pPr>
      <w:r>
        <w:rPr>
          <w:rFonts w:ascii="Arial" w:cs="Arial" w:eastAsia="Arial" w:hAnsi="Arial"/>
          <w:sz w:val="18"/>
          <w:szCs w:val="18"/>
          <w:color w:val="auto"/>
        </w:rPr>
        <w:t>We do not currently own or have a license to any issued patent that covers our NGM217 product candidate. However, our NGM217 product candidate, and related compositions-of matter and methods of use, are disclosed and claimed in pending United States and PCT applications. The earliest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spacing w:after="0" w:line="237" w:lineRule="auto"/>
        <w:rPr>
          <w:sz w:val="20"/>
          <w:szCs w:val="20"/>
          <w:color w:val="auto"/>
        </w:rPr>
      </w:pPr>
      <w:r>
        <w:rPr>
          <w:rFonts w:ascii="Arial" w:cs="Arial" w:eastAsia="Arial" w:hAnsi="Arial"/>
          <w:sz w:val="18"/>
          <w:szCs w:val="18"/>
          <w:color w:val="auto"/>
        </w:rPr>
        <w:t>expected expiration date for any patents issuing from these patent applications is January 2038, exclusive of possible patent term extensions or adjustments. Any changes we make to the NGM217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NGM217 molecule, nor can there be any assurance that we will obtain sufficiently broad claims to be able to prevent others from selling competing products.</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NGM621 Patent Portfolio</w:t>
      </w:r>
    </w:p>
    <w:p>
      <w:pPr>
        <w:spacing w:after="0" w:line="122"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NGM621 product candidate. However, our NGM621 product candidate, and related compositions-of-matter and methods of use, are disclosed and claimed in a pending United States provisional application filed in April 2018 that we expect to use as the basis for U.S. non-provisional and PCT applications. Any changes we make to the NGM621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NGM621 molecule, nor can there be any assurance that we will obtain sufficiently broad claims to be able to prevent others from selling competing products.</w:t>
      </w:r>
    </w:p>
    <w:p>
      <w:pPr>
        <w:spacing w:after="0" w:line="208"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U.S. patent system permits the filing of provisional and non-provisional patent applications. A provisional patent application is not examined for patentability by the USPTO, and automatically expires 12 months after its filing date. As a result, a provisional patent application cannot mature into an issued patent. Provisional applications are often used, among other things, to establish an early effective filing date for a later-filed non-provisional patent application. A non-provisional patent application is examined by the USPTO and can mature into a patent once the USPTO determines that the claimed invention meets the standards for patentability. If we do not timely file any non-provisional patent applications with respect to any of our provisional patent applications, we may lose our priority date with respect to our provisional patent applications and any patent protection on the inventions disclosed therein.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ability to maintain and solidify our proprietary position for our product candidates and technology will depend on our success in obtaining effective patent claims and enforcing those claims once granted. We do not know whether any of our patent applications will result in the issuance of any patents, or what the scope of the claims in any future issued patents may be. Our issued patents and those that may issue in the future, or those licensed to us, may be challenged, invalidated, narrowed, rendered unenforceable or circumvented, which could limit our ability to stop competitors from marketing identical or substantially similar products or could reduce the length of term of patent protection that we may have for our products. In addition, the claims granted in any of our issued patents may not provide us with advantages against competitors with similar biological molecules or technology. Furthermore, our competitors may independently develop technologies that are similar or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identical to technology developed by us but that do not infringe our patents or other intellectual property. Because of the extensive time required for development, testing and regulatory review of a potential product, it is possible that, by the time that any of our drug candidates or those developed by our collaborator can be commercialized, the key patent may have expired or may only continue to remain in force for a short period of time following commercialization, thereby reducing the usefulness of the patent.</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seek to protect our proprietary technology and processes, in part, by confidentiality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or contractors use technology or know-how owned by others in their work for us, disputes may arise as to the rights in related inventions. For this and more comprehensive risks related to our intellectual property, see “Risk Factors—Risks Related to Our Intellectual Property.”</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As of December 31, 2018, we had 164 employees. Approximately 135 employees are engaged in research and development, and the others are engaged in business development, finance and other administrative functions.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We lease and occupy approximately 122,000 square feet of laboratory and office space in South San Francisco, California. The lease is scheduled to expire in December 2023. We believe that our current spaces are adequate for our needs. We also believe we will be able to obtain additional space, as needed, on commercially reasonable terms.</w:t>
      </w:r>
    </w:p>
    <w:p>
      <w:pPr>
        <w:spacing w:after="0" w:line="28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Directors and Executive Officers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name, age and position of each of our directors and executive officers as of December 31,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6680" w:type="dxa"/>
            <w:vAlign w:val="bottom"/>
            <w:gridSpan w:val="3"/>
          </w:tcPr>
          <w:p>
            <w:pPr>
              <w:ind w:left="74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Executive Officers</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William J. Rieflin</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w:t>
            </w:r>
          </w:p>
        </w:tc>
        <w:tc>
          <w:tcPr>
            <w:tcW w:w="66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Executive Chairman of the Board of Directors</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J. Woodhouse, Ph.D.</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Chief Executive Officer, Acting Chief Financial Officer and Director</w:t>
            </w: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Jin-Long Chen, Ph.D.</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w:t>
            </w:r>
          </w:p>
        </w:tc>
        <w:tc>
          <w:tcPr>
            <w:tcW w:w="66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Founder, Chief Scientific Officer and Director</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Aetna Wun Trombley, Ph.D.</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Non-Employee Directors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V. Goeddel, Ph.D.(1)</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Lead Independent Director</w:t>
            </w: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Suzanne Sawochka Hooper(1)(2)</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w:t>
            </w:r>
          </w:p>
        </w:tc>
        <w:tc>
          <w:tcPr>
            <w:tcW w:w="66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Leschly(2)</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David Schnell, M.D.(3)</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w:t>
            </w:r>
          </w:p>
        </w:tc>
        <w:tc>
          <w:tcPr>
            <w:tcW w:w="66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Svennilson</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McHenry T. Tichenor, Jr.(2)(3)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68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9" w:lineRule="exact"/>
        <w:rPr>
          <w:sz w:val="20"/>
          <w:szCs w:val="20"/>
          <w:color w:val="auto"/>
        </w:rPr>
      </w:pPr>
    </w:p>
    <w:p>
      <w:pPr>
        <w:ind w:left="740" w:hanging="536"/>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740" w:hanging="536"/>
        <w:spacing w:after="0" w:line="234" w:lineRule="auto"/>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740" w:hanging="536"/>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8"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i w:val="1"/>
          <w:iCs w:val="1"/>
          <w:color w:val="auto"/>
        </w:rPr>
        <w:t xml:space="preserve">William J. Rieflin </w:t>
      </w:r>
      <w:r>
        <w:rPr>
          <w:rFonts w:ascii="Arial" w:cs="Arial" w:eastAsia="Arial" w:hAnsi="Arial"/>
          <w:sz w:val="18"/>
          <w:szCs w:val="18"/>
          <w:color w:val="auto"/>
        </w:rPr>
        <w:t>became executive chairman of our board of directors in September 2018, after having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 member of our board of directors since September 2010. From 2004 until 2010, he served as President of XenoPort, Inc., a biotechnology company focused on the discovery and development of transported prodrugs. From 1996 to 2004, he held various positions with Tularik, a biotechnology company focused on the discovery and development of product candidates based on the regulation of gene expression that was acquired by Amgen in 2004, most recently serving as Executive Vice President, Administration, Chief Financial Officer, General Counsel and Secretary. Mr. Rieflin has served as a director at FLX Bio, Inc. since 2015 and Kallyope Inc. since 2016. Mr. Rieflin also served as a director of Flexus Biosciences, until its acquisition in 2015, a director of XenoPort, until its acquisition in 2016 and as a director of Anacor Pharmaceuticals, until its acquisition in 2016. Mr. Rieflin received a B.S. from Cornell University, an M.B.A. from the University of Chicago Graduate School of Business and a J.D. from Stanford Law School. We believe that Mr. Rieflin’s extensive experience with us, which is a consequence of his tenure as Chief Executive Officer, brings necessary historic knowledge and continuity to our board of directors. In addition, we believe his experiences prior to joining us provided him with operational and industry expertise that are important to our board of directors.</w:t>
      </w:r>
    </w:p>
    <w:p>
      <w:pPr>
        <w:spacing w:after="0" w:line="184" w:lineRule="exact"/>
        <w:rPr>
          <w:sz w:val="20"/>
          <w:szCs w:val="20"/>
          <w:color w:val="auto"/>
        </w:rPr>
      </w:pPr>
    </w:p>
    <w:p>
      <w:pPr>
        <w:ind w:left="200" w:right="180" w:firstLine="551"/>
        <w:spacing w:after="0" w:line="241" w:lineRule="auto"/>
        <w:rPr>
          <w:sz w:val="20"/>
          <w:szCs w:val="20"/>
          <w:color w:val="auto"/>
        </w:rPr>
      </w:pPr>
      <w:r>
        <w:rPr>
          <w:rFonts w:ascii="Arial" w:cs="Arial" w:eastAsia="Arial" w:hAnsi="Arial"/>
          <w:sz w:val="18"/>
          <w:szCs w:val="18"/>
          <w:i w:val="1"/>
          <w:iCs w:val="1"/>
          <w:color w:val="auto"/>
        </w:rPr>
        <w:t xml:space="preserve">David J. Woodhouse, Ph.D. </w:t>
      </w:r>
      <w:r>
        <w:rPr>
          <w:rFonts w:ascii="Arial" w:cs="Arial" w:eastAsia="Arial" w:hAnsi="Arial"/>
          <w:sz w:val="18"/>
          <w:szCs w:val="18"/>
          <w:color w:val="auto"/>
        </w:rPr>
        <w:t>became our Chief Executive Officer, Acting Chief Financial Officer and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September 2018, after having served as our Chief Financial Officer from March 2015 until September 2018. From 2002 to 2015, he was an investment banker at Goldman Sachs &amp; Co. LLC, most recently as a Managing Director in the healthcare investment banking group and co-head of biotechnology investment banking. Earlier in his career, Dr. Woodhouse worked at Dynavax Technologies and also as a research assistant at Amgen, Inc. Dr. Woodhouse received a B.A. in pharmacology from the University of California, Santa Barbara, an M.B.A. from the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Tuck School of Business at Dartmouth and a Ph.D. in molecular pharmacology from Stanford University School of Medicine. We believe Dr. Woodhouse’s experience with us, as well as his financial and executive experience, make him qualified to serve on our board of directors. In addition, Dr. Woodhouse’s experience in healthcare investment banking prior to joining us provided him with industry expertise that is important to our board of directors.</w:t>
      </w:r>
    </w:p>
    <w:p>
      <w:pPr>
        <w:spacing w:after="0" w:line="184"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i w:val="1"/>
          <w:iCs w:val="1"/>
          <w:color w:val="auto"/>
        </w:rPr>
        <w:t>Jin-Long Chen, Ph.D.</w:t>
      </w:r>
      <w:r>
        <w:rPr>
          <w:rFonts w:ascii="Arial" w:cs="Arial" w:eastAsia="Arial" w:hAnsi="Arial"/>
          <w:sz w:val="18"/>
          <w:szCs w:val="18"/>
          <w:color w:val="auto"/>
        </w:rPr>
        <w:t>, our founder, has served as a member of our board of directors and as our Chief Scientific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2008. From 2004 to 2008, Dr. Chen held various positions at Amgen, most recently as its Vice President, Metabolic Research. Prior to joining Amgen, Dr. Chen was Vice President, Biology at Tularik. He has served as a director of Tenaya Therapeutics, Inc. since 2016. Dr. Chen received a B.S. from Fu-Jen Catholic University, an M.S. from National Taiwan University and a Ph.D. from the University of California, Berkeley. We believe that Dr. Chen’s extensive experience with us,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w:t>
      </w:r>
    </w:p>
    <w:p>
      <w:pPr>
        <w:spacing w:after="0" w:line="185"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i w:val="1"/>
          <w:iCs w:val="1"/>
          <w:color w:val="auto"/>
        </w:rPr>
        <w:t>Aetna Wun Trombley, Ph.D.</w:t>
      </w:r>
      <w:r>
        <w:rPr>
          <w:rFonts w:ascii="Arial" w:cs="Arial" w:eastAsia="Arial" w:hAnsi="Arial"/>
          <w:sz w:val="18"/>
          <w:szCs w:val="18"/>
          <w:color w:val="auto"/>
        </w:rPr>
        <w:t>, became our President in September 2018 and has served as our Chief Operating Officer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2015. Prior to that, Dr. Trombley was our Vice President and Executive Director, Business Development between September 2011 and June 2015. She was most recently at Novartis in Basel, Switzerland, where she was Chief of Staff for the Chief Executive Officer and worked on key corporate initiatives and strategic projects across the company’s healthcare businesses. Earlier in her career, Dr. Trombley worked at XenoPort, Inc., and at McKinsey &amp; Company, where she advised pharmaceutical and medical device clients on strategic, commercial and operational issues. Dr. Trombley has served as a director of Carmot Therapeutics, Inc. since 2016. She received a B.S. in Chemistry from the University of California, San Diego and a Ph.D. in Chemistry from MIT.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108"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i w:val="1"/>
          <w:iCs w:val="1"/>
          <w:color w:val="auto"/>
        </w:rPr>
        <w:t>David V. Goeddel, Ph.D</w:t>
      </w:r>
      <w:r>
        <w:rPr>
          <w:rFonts w:ascii="Arial" w:cs="Arial" w:eastAsia="Arial" w:hAnsi="Arial"/>
          <w:sz w:val="18"/>
          <w:szCs w:val="18"/>
          <w:color w:val="auto"/>
        </w:rPr>
        <w:t>. became lead independent director of our board of directors in September 2018, after having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since January 2008 and served as our Chief Executive Officer from 2008 to 2010. Dr. Goeddel has been a Managing Partner of The Column Group, or TCG, a venture capital partnership,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 traded and privately held life science companies and experience in founding and serving as President and Chief Executive Officer of a public biopharmaceutical company give him the qualifications, skills and financial expertise to serve on our board of directors.</w:t>
      </w:r>
    </w:p>
    <w:p>
      <w:pPr>
        <w:spacing w:after="0" w:line="187" w:lineRule="exact"/>
        <w:rPr>
          <w:sz w:val="20"/>
          <w:szCs w:val="20"/>
          <w:color w:val="auto"/>
        </w:rPr>
      </w:pPr>
    </w:p>
    <w:p>
      <w:pPr>
        <w:ind w:left="200" w:right="120" w:firstLine="551"/>
        <w:spacing w:after="0" w:line="241" w:lineRule="auto"/>
        <w:rPr>
          <w:sz w:val="20"/>
          <w:szCs w:val="20"/>
          <w:color w:val="auto"/>
        </w:rPr>
      </w:pPr>
      <w:r>
        <w:rPr>
          <w:rFonts w:ascii="Arial" w:cs="Arial" w:eastAsia="Arial" w:hAnsi="Arial"/>
          <w:sz w:val="18"/>
          <w:szCs w:val="18"/>
          <w:i w:val="1"/>
          <w:iCs w:val="1"/>
          <w:color w:val="auto"/>
        </w:rPr>
        <w:t xml:space="preserve">Suzanne Sawochka Hooper </w:t>
      </w:r>
      <w:r>
        <w:rPr>
          <w:rFonts w:ascii="Arial" w:cs="Arial" w:eastAsia="Arial" w:hAnsi="Arial"/>
          <w:sz w:val="18"/>
          <w:szCs w:val="18"/>
          <w:color w:val="auto"/>
        </w:rPr>
        <w:t>has served as a member of our board of directors since August 2018. From March 2012 to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2019, Ms. Hooper served as the Executive Vice President and General Counsel of Jazz Pharmaceuticals plc. From 1999 until February 2012, she was a partner in the law firm Cooley LLP. Ms. Hooper previously served as a director of Gentium S.p.A. Ms. Hooper received a J.D. from the University of California, Berkeley, Boalt Hall School of Law and a B.A. in Political Science from the University of California, Santa Barbara. Ms. Hooper is a member of the State Bar of California. We believe Ms. Hooper’s legal and operational background and executive experience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make her qualified to serve on our board of directors. In addition, Ms. Hooper’s experience as the executive vice president of a publicly traded pharmaceutical company provided her with operational expertise that is important to our board of directors.</w:t>
      </w:r>
    </w:p>
    <w:p>
      <w:pPr>
        <w:spacing w:after="0" w:line="179" w:lineRule="exact"/>
        <w:rPr>
          <w:sz w:val="20"/>
          <w:szCs w:val="20"/>
          <w:color w:val="auto"/>
        </w:rPr>
      </w:pPr>
    </w:p>
    <w:p>
      <w:pPr>
        <w:ind w:left="200" w:firstLine="551"/>
        <w:spacing w:after="0" w:line="254" w:lineRule="auto"/>
        <w:rPr>
          <w:sz w:val="20"/>
          <w:szCs w:val="20"/>
          <w:color w:val="auto"/>
        </w:rPr>
      </w:pPr>
      <w:r>
        <w:rPr>
          <w:rFonts w:ascii="Arial" w:cs="Arial" w:eastAsia="Arial" w:hAnsi="Arial"/>
          <w:sz w:val="17"/>
          <w:szCs w:val="17"/>
          <w:i w:val="1"/>
          <w:iCs w:val="1"/>
          <w:color w:val="auto"/>
        </w:rPr>
        <w:t xml:space="preserve">Mark Leschly </w:t>
      </w:r>
      <w:r>
        <w:rPr>
          <w:rFonts w:ascii="Arial" w:cs="Arial" w:eastAsia="Arial" w:hAnsi="Arial"/>
          <w:sz w:val="17"/>
          <w:szCs w:val="17"/>
          <w:color w:val="auto"/>
        </w:rPr>
        <w:t>has served as a member of our board of directors since January 2008. Since July 1999, he has been a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at Rho Capital Partners, Inc., an investment and venture capital management company. Since 2017, Mr. Leschly has been the Chairman and CEO of Universal Tennis, LLC, which is the developer of a software platform for tennis analytics and tournament management. Since 2014, Mr. Leschly has also been the owner and managing member of Iconica LLC, which primarily focuses on investments at the intersection of sports, media and technology. From 2002 to 2016, he was a member of the Board of Directors of Anacor Pharmaceuticals, Inc. Mr. Leschly also serves on the board of a number of private companies. Mr. Leschly received an A.B. from Harvard University and an M.B.A. from the Stanford Graduate School of Business. We believe that Mr. Leschly’s experience in venture capital and in investing in life sciences companies is valuable to our board of directors. In addition, we believe that Mr. Leschly’s prior service on several public company boards has given him experience in corporate governance matters, which is valuable in his position as a director.</w:t>
      </w:r>
    </w:p>
    <w:p>
      <w:pPr>
        <w:spacing w:after="0" w:line="17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i w:val="1"/>
          <w:iCs w:val="1"/>
          <w:color w:val="auto"/>
        </w:rPr>
        <w:t xml:space="preserve">David Schnell, M.D. </w:t>
      </w:r>
      <w:r>
        <w:rPr>
          <w:rFonts w:ascii="Arial" w:cs="Arial" w:eastAsia="Arial" w:hAnsi="Arial"/>
          <w:sz w:val="18"/>
          <w:szCs w:val="18"/>
          <w:color w:val="auto"/>
        </w:rPr>
        <w:t>has served as a member of our board of directors since January 2008. Dr. Schnell co-founded and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at Prospect Venture Partners since 1997. Prior to that, Dr. Schnell served as a Partner at Kleiner Perkins Caufield &amp; Byers, a venture capital firm. Dr. Schnell has led private investments for and served on the board of directors of numerous public and private companies. Dr. Schnell previously served on the board of directors of Amira Pharmaceuticals, Inc. (acquired by Bristol-Myers Squibb), Gloucester Pharmaceuticals (acquired by Celgene Corporation), Kythera Biopharmaceuticals, Inc. (acquired by Allergan plc) and Rinat Neuroscience Corporation (acquired by Pfizer), among others. Dr. Schnell received a B.S. in Biological Sciences from Stanford University, an M.A. in Health Services Research from Stanford University School of Medicine, and an M.D. from Harvard Medical School. We believe Dr. Schnell’s medical background, venture and executive experience and numerous directorships make him qualified to serve on our board of directors. In addition, Dr. Schnell brings insight on compensation-related matters to the compensation committee based on his breadth of exposure to emerging and public companies.</w:t>
      </w:r>
    </w:p>
    <w:p>
      <w:pPr>
        <w:spacing w:after="0" w:line="189"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i w:val="1"/>
          <w:iCs w:val="1"/>
          <w:color w:val="auto"/>
        </w:rPr>
        <w:t xml:space="preserve">Peter Svennilson </w:t>
      </w:r>
      <w:r>
        <w:rPr>
          <w:rFonts w:ascii="Arial" w:cs="Arial" w:eastAsia="Arial" w:hAnsi="Arial"/>
          <w:sz w:val="18"/>
          <w:szCs w:val="18"/>
          <w:color w:val="auto"/>
        </w:rPr>
        <w:t>has served as a member of our board of directors since January 2008. He founded and has been a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TCG since 2007. He also currently serves on the boards of Constellation Pharmaceuticals, Inc., Gritstone Oncology, Inc., ORIC Pharmaceuticals, Inc. and Ribon Therapeutics, Inc. He was the Chairman of Aragon Pharmaceuticals before it was sold to Johnson &amp; Johnson in 2013 and was the Chairman of Seragon Pharmaceuticals, Inc. until it was sold to Genentech, Inc./F. Hoffman-La Roche AG in 2014. Mr. Svennilson was also a former director of PTC Therapeutics, Inc. Prior to TCG, he founded Three Crowns Capital and was a Managing Partner from 1996 to 2007. Prior to Three Crowns Capital, he was an Associate Managing Director at Nomura Securities from 1987 to 1993. Mr. Svennilson is currently a trustee for The Institute for Advanced Study in Princeton, New Jersey. Mr. Svennilson received an M.B.A. from the Stockholm School of Economics and Finance. We believe that Mr. Svennilson’s experience in venture capital and in fund raising for life sciences companies makes him qualified to serve on our board of directors.</w:t>
      </w:r>
    </w:p>
    <w:p>
      <w:pPr>
        <w:spacing w:after="0" w:line="184"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i w:val="1"/>
          <w:iCs w:val="1"/>
          <w:color w:val="auto"/>
        </w:rPr>
        <w:t xml:space="preserve">McHenry T. Tichenor, Jr. </w:t>
      </w:r>
      <w:r>
        <w:rPr>
          <w:rFonts w:ascii="Arial" w:cs="Arial" w:eastAsia="Arial" w:hAnsi="Arial"/>
          <w:sz w:val="18"/>
          <w:szCs w:val="18"/>
          <w:color w:val="auto"/>
        </w:rPr>
        <w:t>has served as a member of our board of directors since March 2010. He has also served as the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Tichenor Ventures, LLC since January 2010 and held a board observer role at Peloton Therapeutics, Inc. since October 2012. He served as a director of Belo Corp. from 2009 to 2013. Mr. Tichenor served as President, Chief Executive Officer and Director of Tichenor Media System, Inc. from 1981 to 1997, which he subsequently merged with the Hispanic Broadcasting Corporation and, ultimately, with Univision Communications. Mr. Tichenor currently serves as the Executive Director of WWWW Foundation, Inc., a non-profit organization devoted, in part, to cancer research. From 2010 to 2018, Mr. Tichenor served as Board Chairman of the Sarcoma Alliance for Research through Collaboration, a non-profit sponsor of clinical trials for the prevention, treatment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57" w:lineRule="auto"/>
        <w:rPr>
          <w:sz w:val="20"/>
          <w:szCs w:val="20"/>
          <w:color w:val="auto"/>
        </w:rPr>
      </w:pPr>
      <w:r>
        <w:rPr>
          <w:rFonts w:ascii="Arial" w:cs="Arial" w:eastAsia="Arial" w:hAnsi="Arial"/>
          <w:sz w:val="17"/>
          <w:szCs w:val="17"/>
          <w:color w:val="auto"/>
        </w:rPr>
        <w:t>cure of sarcomas. Mr. Tichenor earned a B.A. with Honors in Plan II and an M.B.A. from The University of Texas at Austin, and an M.S. in biotechnology from The University of Texas at Dallas. We believe Mr. Tichenor’s financial and scientific background, venture and executive experience, and multiple directorships make him qualified to serve on our board of directors. In addition, Mr. Tichenor’s experience as the chief executive officer of a publicly traded company provided him with operational expertise that is important to our board of directors.</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234"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Our amended and restated bylaws provide that the size of our board of directors will be determined from time to time by resolution of our board of directors. Our board of directors currently consists of nine directors, six of whom qualify as independent directors under the rules and regulations of the Securities and Exchange Commission, or SEC, and Nasdaq Stock Market, LLC, or Nasdaq.</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Election of Directors</w:t>
      </w:r>
    </w:p>
    <w:p>
      <w:pPr>
        <w:spacing w:after="0" w:line="234"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for a classified board of directors consisting of three classes of directors. We will have three directors in each of Class I and Class II and two directors in Class III, each serving a staggered three-year term. At each annual meeting of stockholders, our stockholders will elect successors to directors whose terms then expire to serve from the time of election and qualification until the third annual meeting following election. After the completion of this offering, our directors will be divided among the three classes as follows:</w:t>
      </w:r>
    </w:p>
    <w:p>
      <w:pPr>
        <w:spacing w:after="0" w:line="108" w:lineRule="exact"/>
        <w:rPr>
          <w:sz w:val="20"/>
          <w:szCs w:val="20"/>
          <w:color w:val="auto"/>
        </w:rPr>
      </w:pPr>
    </w:p>
    <w:p>
      <w:pPr>
        <w:ind w:left="960" w:hanging="216"/>
        <w:spacing w:after="0" w:line="246"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Class I directors will be Mark Leschly, William J. Rieflin and Peter Svennilson, and their terms will expire at the annual meeting of stockholders to be held in 2019;</w:t>
      </w:r>
    </w:p>
    <w:p>
      <w:pPr>
        <w:spacing w:after="0" w:line="102"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Class II directors will be Jin-Long Chen, David Schnell, M.D. and McHenry T. Tichenor, Jr., and their terms will expire at the annual meeting of stockholders to be held in 2020; and</w:t>
      </w:r>
    </w:p>
    <w:p>
      <w:pPr>
        <w:spacing w:after="0" w:line="102" w:lineRule="exact"/>
        <w:rPr>
          <w:rFonts w:ascii="Arial" w:cs="Arial" w:eastAsia="Arial" w:hAnsi="Arial"/>
          <w:sz w:val="18"/>
          <w:szCs w:val="18"/>
          <w:color w:val="auto"/>
        </w:rPr>
      </w:pPr>
    </w:p>
    <w:p>
      <w:pPr>
        <w:ind w:left="960" w:right="60" w:hanging="216"/>
        <w:spacing w:after="0" w:line="246"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Class III directors will be David V. Goeddel, Ph.D., Suzanne Sawochka Hooper and David J. Woodhouse, Ph.D., and their terms will expire at the annual meeting of stockholders to be held in 2021.</w:t>
      </w:r>
    </w:p>
    <w:p>
      <w:pPr>
        <w:spacing w:after="0" w:line="197"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The classification of our board of directors may have the effect of delaying or preventing changes in control of our company. We expect that additional directorships resulting from an increase in the number of directors, if any, will be distributed among the three classes so that, as nearly as possible, each class will consist of one-third of the directors.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Independence of the Board of Directors and Board Committees</w:t>
      </w:r>
    </w:p>
    <w:p>
      <w:pPr>
        <w:spacing w:after="0" w:line="234"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Upon the completion of this offering, we anticipate that our common stock will be listed on the Nasdaq Global Select Market. Rule 5605 of the Nasdaq Marketplace Rules, or the Nasdaq Listing Rules, requires that independent directors compose a majority of a listed company’s board of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Nasdaq Listing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In addition to satisfying general independence requirements under the Nasdaq Listing Rules, members of the compensation committee must also satisfy additional independence requirements set forth in Nasdaq Listing Rule 5605(d)(2). In order to be considered independent for purposes of Nasdaq Listing Rule 5605(d)(2), a member of a compensation committee of a listed company may not, other than in his or her capacity as a member of the compensation committee, the board of directors or any other board committee, accept, directly or indirectly, any consulting, advisory or other compensatory fee from the listed company or any of its subsidiaries. Additionally, the board of directors of the listed company must consider whether the compensation committee member is an affiliated person of the listed company or any of its subsidiaries and, if so, must determine whether such affiliation would impair the director’s judgment as a member of the compensation committee.</w:t>
      </w:r>
    </w:p>
    <w:p>
      <w:pPr>
        <w:spacing w:after="0" w:line="207" w:lineRule="exact"/>
        <w:rPr>
          <w:sz w:val="20"/>
          <w:szCs w:val="20"/>
          <w:color w:val="auto"/>
        </w:rPr>
      </w:pPr>
    </w:p>
    <w:p>
      <w:pPr>
        <w:ind w:left="200" w:firstLine="551"/>
        <w:spacing w:after="0" w:line="248" w:lineRule="auto"/>
        <w:rPr>
          <w:sz w:val="20"/>
          <w:szCs w:val="20"/>
          <w:color w:val="auto"/>
        </w:rPr>
      </w:pPr>
      <w:r>
        <w:rPr>
          <w:rFonts w:ascii="Arial" w:cs="Arial" w:eastAsia="Arial" w:hAnsi="Arial"/>
          <w:sz w:val="17"/>
          <w:szCs w:val="17"/>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and other relationships, including those relationships described under “Certain Relationships and Related Person Transactions,” our board of directors determined that none of Drs. Goeddel and Schnell, Messrs. Leschly, Svennilson and Tichenor and Ms. Hooper, representing six of our nine directors, has a relationship that would interfere with the exercise of independent judgment in carrying out the responsibilities of a director and that each of these directors is “independent” as that term is defined under Rule 5605(a)</w:t>
      </w:r>
    </w:p>
    <w:p>
      <w:pPr>
        <w:spacing w:after="0" w:line="4" w:lineRule="exact"/>
        <w:rPr>
          <w:sz w:val="20"/>
          <w:szCs w:val="20"/>
          <w:color w:val="auto"/>
        </w:rPr>
      </w:pPr>
    </w:p>
    <w:p>
      <w:pPr>
        <w:ind w:left="200" w:firstLine="4"/>
        <w:spacing w:after="0" w:line="236" w:lineRule="auto"/>
        <w:tabs>
          <w:tab w:leader="none" w:pos="4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of the Nasdaq Listing Rules. Dr. Woodhouse is not considered independent because he currently serves as our Chief Executive Officer. Mr. Rieflin is not considered independent because he served as our Chief Executive Officer within the past three years. Dr. Chen is not considered independent because he currently serves as our Chief Scientific Officer. Our board of directors also determined that each member of the audit, compensation and nominating and corporate governance committees satisfies the independence standards for such committees established by the SEC and the Nasdaq Listing Rules, as applicable. In making these determinations on the independence of our directors,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Leadership Structure and the Role of the Board in Risk Oversight</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2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The positions of our executive chairman of the board and chief executive officer are currently separated. Separating these positions allows our chief executive officer to focus on our day-to-day business, while allowing the chairman of the board to lead our board of directors in its fundamental role of providing advice to and oversight of management. Our board of directors recognizes the time, effort and energy that the chief executive officer must devote to his position in the current business environment, as well as the commitment required to serve as our chairman, particularly as our board of directors’ oversight responsibilities continue to grow.</w:t>
      </w:r>
    </w:p>
    <w:p>
      <w:pPr>
        <w:spacing w:after="0" w:line="203"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Although our amended and restated bylaws that will be in effect upon the completion of this offering will not require that we separate the chairman of the board and chief executive officer positions, our board of directors believes that having separate positions is the appropriate leadership structure for us at this time. Our board of directors recognizes that, depending on the circumstances, other leadership models, such as combining the role of executive chairman of the board with the role of</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197"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Our corporate governance guidelines to be in effect following this offering will provide that in the event that the chairman of the board of directors is not an independent director, our board may designate one of the independent directors to serve as lead independent director. Our board of directors has appointed Dr. Goeddel to serve as our lead independent director. As lead independent director, Dr. Goeddel, with the executive chairman, establishes the agenda for regular board meetings, presides over periodic meetings of our independent directors, serves as a liaison among our chief executive officer, our executive chairman and the independent directors and performs such additional duties as our board of directors or executive chairman may otherwise determine or delegate.</w:t>
      </w:r>
    </w:p>
    <w:p>
      <w:pPr>
        <w:spacing w:after="0" w:line="205"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We anticipate that our independent directors will meet alone in executive session at no less than four regular meetings of our board of directors each year. The purpose of these executive sessions is to promote open and candid discussion among non-employee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26"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We face a number of risks, including those described under the section titled “Risk Factors” included elsewhere in this prospectus. Our board of directors believes that risk management is an important part 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audit committee, as part of its responsibilities, oversees the management of financial risks, including accounting matters, liquidity and credit risks, corporate tax positions, insurance coverage and cash investment strategy and results. The audit committee is also responsible for overseeing the management of risks relating to the performance of our internal audit function, if required, and our independent registered public accounting firm, as well as our system of internal control and disclosure controls and procedures. The compensation committee is responsible for overseeing the management of risks relating to our executive compensation and overall compensation and benefit strategies, plans, arrangements, practices and policies. The nominating and corporate governance committee oversees the management of risks associated with our overall compliance and corporate governance practices and the independence and composition of our board of directors. These committees provide regular reports, on at least a quarterly basis, to the full board of directors.</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Committees of the Board</w:t>
      </w:r>
    </w:p>
    <w:p>
      <w:pPr>
        <w:spacing w:after="0" w:line="234"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Our board of directors has a standing audit committee, compensation committee and nominating and corporate governance committee. The composition and responsibilities of each committee are described below. Members serve on these committees until their resignation or until otherwise determined by our board of directors.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financial statements, the qualifications and independence of our independent registered public accounting firm and our internal financial and accounting controls. The audit committee has direct responsibility for the appointment, compensation, retention (including termination) and oversight of our independent registered public accounting firm, and our independent registered public accounting firm reports directly to the audit committee. The audit committee also prepares the audit committee report that the SEC requires to be included in our annual proxy statement.</w:t>
      </w:r>
    </w:p>
    <w:p>
      <w:pPr>
        <w:spacing w:after="0" w:line="205"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The members of the audit committee are Messrs. Leschly and Tichenor and Ms. Hooper, and Mr. Tichenor serves as chair of the audit committee. All members of the audit committee qualify as an independent director under the corporate governance standards of the Nasdaq Listing Rules and the independence requirements of Rule 10A-3 of the Exchange Act. Our board of directors has determined that Mr. Tichenor qualifies as an “audit committee financial expert” as such term is currently defined in Item 407(d)(5) of Regulation S-K. The audit committee has adopted a written charter that satisfies the applicable standards of the SEC and the Nasdaq Listing Rules, which we will post on our website upon completion of this offering.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left="200" w:right="400" w:firstLine="551"/>
        <w:spacing w:after="0"/>
        <w:rPr>
          <w:sz w:val="20"/>
          <w:szCs w:val="20"/>
          <w:color w:val="auto"/>
        </w:rPr>
      </w:pPr>
      <w:r>
        <w:rPr>
          <w:rFonts w:ascii="Arial" w:cs="Arial" w:eastAsia="Arial" w:hAnsi="Arial"/>
          <w:sz w:val="18"/>
          <w:szCs w:val="18"/>
          <w:color w:val="auto"/>
        </w:rPr>
        <w:t>The compensation committee approves the compensation objectives for the company, approves the compensation of the chief executive officer and approves or recommends to our board of directors for approval the compensation for other executives. The compensation committee reviews all compensation components, including base salary, bonus, benefits and other perquisites.</w:t>
      </w:r>
    </w:p>
    <w:p>
      <w:pPr>
        <w:spacing w:after="0" w:line="203"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The members of the compensation committee are Dr. Schnell and Mr. Tichenor, and Dr. Schnell serves as chair of the compensation committee. Each member of the compensation committee is a non-employee director within the meaning of Rule 16b-3 of the rules promulgated under the Exchange Act and each is an independent director as defined by the Nasdaq Listing Rules, including Nasdaq Listing Rule 5605(d)(2). The compensation committee has adopted a written charter that satisfies the applicable standards of the SEC and the Nasdaq Listing Rules, which we will post on our website upon completion of this offering.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ind w:left="200" w:right="340" w:firstLine="551"/>
        <w:spacing w:after="0" w:line="23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structure and composition of our board and the board committees. In addition, the nominating and corporate governance committee is responsible for developing and recommending to our board corporate governance guidelines applicable to the company and advising our board on corporate governance matters.</w:t>
      </w:r>
    </w:p>
    <w:p>
      <w:pPr>
        <w:spacing w:after="0" w:line="20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members of the nominating and corporate governance committee are Dr. Goeddel and Ms. Hooper, and Dr. Goeddel serves as chair of the nominating and corporate governance committee. Each member of the nominating and corporate governance committee is a non-employee director within the meaning of Rule 16b-3 of the rules promulgated under the Exchange Act and an independent director as defined by the Nasdaq Listing Rules. The nominating and corporate governance committee has adopted a written charter that satisfies the applicable standards of the Nasdaq Listing Rules, which we will post on our website upon completion of this offering.</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We adopted a code of business conduct and ethics that applies to all of our employees, officers and directors including those officers responsible for financial reporting. Upon completion of this offering, we will post the code of business conduct and ethics on our website. We intend to disclose future amendments to the code or any waivers of its requirements on our website to the extent permitted by the applicable rules and exchange requirements.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None of the members of our compensation committee have ever been officers or employees of the company. None of our executive officers serves, or has served during the last three years, as a member of the board of directors, compensation committee or other board committee performing equivalent functions of any entity that has one or more executive officers serving as one of our directors or on our compensation committee.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jc w:val="both"/>
        <w:ind w:left="200" w:right="80" w:firstLine="551"/>
        <w:spacing w:after="0"/>
        <w:rPr>
          <w:sz w:val="20"/>
          <w:szCs w:val="20"/>
          <w:color w:val="auto"/>
        </w:rPr>
      </w:pPr>
      <w:r>
        <w:rPr>
          <w:rFonts w:ascii="Arial" w:cs="Arial" w:eastAsia="Arial" w:hAnsi="Arial"/>
          <w:sz w:val="18"/>
          <w:szCs w:val="18"/>
          <w:color w:val="auto"/>
        </w:rPr>
        <w:t>The following table provides information regarding the compensation of our current and former principal executive officer and each of our two other most highly compensated executive officers during the fiscal year ended December 31, 2018. Throughout this prospectus we refer to these executive officers as our named executive officers.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Awards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Compensation</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60" w:type="dxa"/>
            <w:vAlign w:val="bottom"/>
            <w:gridSpan w:val="3"/>
            <w:vMerge w:val="continue"/>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28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4"/>
                <w:szCs w:val="14"/>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CCEEFF"/>
            </w:tcBorders>
            <w:shd w:val="clear" w:color="auto" w:fill="000000"/>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740" w:type="dxa"/>
            <w:vAlign w:val="bottom"/>
            <w:gridSpan w:val="2"/>
            <w:shd w:val="clear" w:color="auto" w:fill="CCEEFF"/>
          </w:tcPr>
          <w:p>
            <w:pPr>
              <w:spacing w:after="0" w:line="157" w:lineRule="exact"/>
              <w:rPr>
                <w:sz w:val="20"/>
                <w:szCs w:val="20"/>
                <w:color w:val="auto"/>
              </w:rPr>
            </w:pPr>
            <w:r>
              <w:rPr>
                <w:rFonts w:ascii="Arial" w:cs="Arial" w:eastAsia="Arial" w:hAnsi="Arial"/>
                <w:sz w:val="18"/>
                <w:szCs w:val="18"/>
                <w:color w:val="auto"/>
              </w:rPr>
              <w:t>David J. Woodhouse, Ph.D.</w:t>
            </w:r>
          </w:p>
        </w:tc>
        <w:tc>
          <w:tcPr>
            <w:tcW w:w="460" w:type="dxa"/>
            <w:vAlign w:val="bottom"/>
            <w:shd w:val="clear" w:color="auto" w:fill="CCEEFF"/>
          </w:tcPr>
          <w:p>
            <w:pPr>
              <w:ind w:left="60"/>
              <w:spacing w:after="0" w:line="157" w:lineRule="exact"/>
              <w:rPr>
                <w:sz w:val="20"/>
                <w:szCs w:val="20"/>
                <w:color w:val="auto"/>
              </w:rPr>
            </w:pPr>
            <w:r>
              <w:rPr>
                <w:rFonts w:ascii="Arial" w:cs="Arial" w:eastAsia="Arial" w:hAnsi="Arial"/>
                <w:sz w:val="18"/>
                <w:szCs w:val="18"/>
                <w:color w:val="auto"/>
                <w:w w:val="94"/>
              </w:rPr>
              <w:t>2018</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8"/>
                <w:szCs w:val="18"/>
                <w:color w:val="auto"/>
              </w:rPr>
              <w:t>412,500</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8"/>
                <w:szCs w:val="18"/>
                <w:color w:val="auto"/>
              </w:rPr>
              <w:t>3,670,498</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7" w:lineRule="exact"/>
              <w:rPr>
                <w:sz w:val="20"/>
                <w:szCs w:val="20"/>
                <w:color w:val="auto"/>
              </w:rPr>
            </w:pPr>
            <w:r>
              <w:rPr>
                <w:rFonts w:ascii="Arial" w:cs="Arial" w:eastAsia="Arial" w:hAnsi="Arial"/>
                <w:sz w:val="18"/>
                <w:szCs w:val="18"/>
                <w:color w:val="auto"/>
              </w:rPr>
              <w:t>57,000</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7" w:lineRule="exact"/>
              <w:rPr>
                <w:sz w:val="20"/>
                <w:szCs w:val="20"/>
                <w:color w:val="auto"/>
              </w:rPr>
            </w:pPr>
            <w:r>
              <w:rPr>
                <w:rFonts w:ascii="Arial" w:cs="Arial" w:eastAsia="Arial" w:hAnsi="Arial"/>
                <w:sz w:val="18"/>
                <w:szCs w:val="18"/>
                <w:color w:val="auto"/>
              </w:rPr>
              <w:t>750</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8"/>
                <w:szCs w:val="18"/>
                <w:color w:val="auto"/>
              </w:rPr>
              <w:t>4,140,748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Chief Executive Officer and Acting Chief Financial</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Officer</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740" w:type="dxa"/>
            <w:vAlign w:val="bottom"/>
            <w:gridSpan w:val="2"/>
          </w:tcPr>
          <w:p>
            <w:pPr>
              <w:spacing w:after="0" w:line="184" w:lineRule="exact"/>
              <w:rPr>
                <w:sz w:val="20"/>
                <w:szCs w:val="20"/>
                <w:color w:val="auto"/>
              </w:rPr>
            </w:pPr>
            <w:r>
              <w:rPr>
                <w:rFonts w:ascii="Arial" w:cs="Arial" w:eastAsia="Arial" w:hAnsi="Arial"/>
                <w:sz w:val="18"/>
                <w:szCs w:val="18"/>
                <w:color w:val="auto"/>
              </w:rPr>
              <w:t>William J. Rieflin</w:t>
            </w:r>
          </w:p>
        </w:tc>
        <w:tc>
          <w:tcPr>
            <w:tcW w:w="460" w:type="dxa"/>
            <w:vAlign w:val="bottom"/>
          </w:tcPr>
          <w:p>
            <w:pPr>
              <w:ind w:left="60"/>
              <w:spacing w:after="0" w:line="184" w:lineRule="exact"/>
              <w:rPr>
                <w:sz w:val="20"/>
                <w:szCs w:val="20"/>
                <w:color w:val="auto"/>
              </w:rPr>
            </w:pPr>
            <w:r>
              <w:rPr>
                <w:rFonts w:ascii="Arial" w:cs="Arial" w:eastAsia="Arial" w:hAnsi="Arial"/>
                <w:sz w:val="18"/>
                <w:szCs w:val="18"/>
                <w:color w:val="auto"/>
                <w:w w:val="94"/>
              </w:rPr>
              <w:t>2018</w:t>
            </w:r>
          </w:p>
        </w:tc>
        <w:tc>
          <w:tcPr>
            <w:tcW w:w="260" w:type="dxa"/>
            <w:vAlign w:val="bottom"/>
          </w:tcPr>
          <w:p>
            <w:pPr>
              <w:spacing w:after="0"/>
              <w:rPr>
                <w:sz w:val="15"/>
                <w:szCs w:val="15"/>
                <w:color w:val="auto"/>
              </w:rPr>
            </w:pPr>
          </w:p>
        </w:tc>
        <w:tc>
          <w:tcPr>
            <w:tcW w:w="720" w:type="dxa"/>
            <w:vAlign w:val="bottom"/>
          </w:tcPr>
          <w:p>
            <w:pPr>
              <w:jc w:val="right"/>
              <w:spacing w:after="0" w:line="184" w:lineRule="exact"/>
              <w:rPr>
                <w:sz w:val="20"/>
                <w:szCs w:val="20"/>
                <w:color w:val="auto"/>
              </w:rPr>
            </w:pPr>
            <w:r>
              <w:rPr>
                <w:rFonts w:ascii="Arial" w:cs="Arial" w:eastAsia="Arial" w:hAnsi="Arial"/>
                <w:sz w:val="18"/>
                <w:szCs w:val="18"/>
                <w:color w:val="auto"/>
              </w:rPr>
              <w:t>553,125</w:t>
            </w:r>
          </w:p>
        </w:tc>
        <w:tc>
          <w:tcPr>
            <w:tcW w:w="260" w:type="dxa"/>
            <w:vAlign w:val="bottom"/>
          </w:tcPr>
          <w:p>
            <w:pPr>
              <w:spacing w:after="0"/>
              <w:rPr>
                <w:sz w:val="15"/>
                <w:szCs w:val="15"/>
                <w:color w:val="auto"/>
              </w:rPr>
            </w:pPr>
          </w:p>
        </w:tc>
        <w:tc>
          <w:tcPr>
            <w:tcW w:w="860" w:type="dxa"/>
            <w:vAlign w:val="bottom"/>
          </w:tcPr>
          <w:p>
            <w:pPr>
              <w:jc w:val="right"/>
              <w:spacing w:after="0" w:line="184" w:lineRule="exact"/>
              <w:rPr>
                <w:sz w:val="20"/>
                <w:szCs w:val="20"/>
                <w:color w:val="auto"/>
              </w:rPr>
            </w:pPr>
            <w:r>
              <w:rPr>
                <w:rFonts w:ascii="Arial" w:cs="Arial" w:eastAsia="Arial" w:hAnsi="Arial"/>
                <w:sz w:val="18"/>
                <w:szCs w:val="18"/>
                <w:color w:val="auto"/>
              </w:rPr>
              <w:t>1,198,957</w:t>
            </w:r>
          </w:p>
        </w:tc>
        <w:tc>
          <w:tcPr>
            <w:tcW w:w="260" w:type="dxa"/>
            <w:vAlign w:val="bottom"/>
          </w:tcPr>
          <w:p>
            <w:pPr>
              <w:spacing w:after="0"/>
              <w:rPr>
                <w:sz w:val="15"/>
                <w:szCs w:val="15"/>
                <w:color w:val="auto"/>
              </w:rPr>
            </w:pPr>
          </w:p>
        </w:tc>
        <w:tc>
          <w:tcPr>
            <w:tcW w:w="1000" w:type="dxa"/>
            <w:vAlign w:val="bottom"/>
          </w:tcPr>
          <w:p>
            <w:pPr>
              <w:jc w:val="right"/>
              <w:spacing w:after="0" w:line="184" w:lineRule="exact"/>
              <w:rPr>
                <w:sz w:val="20"/>
                <w:szCs w:val="20"/>
                <w:color w:val="auto"/>
              </w:rPr>
            </w:pPr>
            <w:r>
              <w:rPr>
                <w:rFonts w:ascii="Arial" w:cs="Arial" w:eastAsia="Arial" w:hAnsi="Arial"/>
                <w:sz w:val="18"/>
                <w:szCs w:val="18"/>
                <w:color w:val="auto"/>
              </w:rPr>
              <w:t>61,050</w:t>
            </w:r>
          </w:p>
        </w:tc>
        <w:tc>
          <w:tcPr>
            <w:tcW w:w="260" w:type="dxa"/>
            <w:vAlign w:val="bottom"/>
          </w:tcPr>
          <w:p>
            <w:pPr>
              <w:spacing w:after="0"/>
              <w:rPr>
                <w:sz w:val="15"/>
                <w:szCs w:val="15"/>
                <w:color w:val="auto"/>
              </w:rPr>
            </w:pPr>
          </w:p>
        </w:tc>
        <w:tc>
          <w:tcPr>
            <w:tcW w:w="1280" w:type="dxa"/>
            <w:vAlign w:val="bottom"/>
            <w:gridSpan w:val="2"/>
          </w:tcPr>
          <w:p>
            <w:pPr>
              <w:jc w:val="right"/>
              <w:ind w:right="280"/>
              <w:spacing w:after="0" w:line="184"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4" w:lineRule="exact"/>
              <w:rPr>
                <w:sz w:val="20"/>
                <w:szCs w:val="20"/>
                <w:color w:val="auto"/>
              </w:rPr>
            </w:pPr>
            <w:r>
              <w:rPr>
                <w:rFonts w:ascii="Arial" w:cs="Arial" w:eastAsia="Arial" w:hAnsi="Arial"/>
                <w:sz w:val="18"/>
                <w:szCs w:val="18"/>
                <w:color w:val="auto"/>
              </w:rPr>
              <w:t>1,813,132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Executive Chairman and Former Chief Executive Officer</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2017</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545,000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1,199,498</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65,400</w:t>
            </w:r>
          </w:p>
        </w:tc>
        <w:tc>
          <w:tcPr>
            <w:tcW w:w="2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1,809,898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7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Aetna Wun Trombley, Ph.D.</w:t>
            </w:r>
          </w:p>
        </w:tc>
        <w:tc>
          <w:tcPr>
            <w:tcW w:w="460" w:type="dxa"/>
            <w:vAlign w:val="bottom"/>
            <w:shd w:val="clear" w:color="auto" w:fill="CCEEFF"/>
          </w:tcPr>
          <w:p>
            <w:pPr>
              <w:ind w:left="60"/>
              <w:spacing w:after="0" w:line="184" w:lineRule="exact"/>
              <w:rPr>
                <w:sz w:val="20"/>
                <w:szCs w:val="20"/>
                <w:color w:val="auto"/>
              </w:rPr>
            </w:pPr>
            <w:r>
              <w:rPr>
                <w:rFonts w:ascii="Arial" w:cs="Arial" w:eastAsia="Arial" w:hAnsi="Arial"/>
                <w:sz w:val="18"/>
                <w:szCs w:val="18"/>
                <w:color w:val="auto"/>
                <w:w w:val="94"/>
              </w:rPr>
              <w:t>2018</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382,500</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2,669,262</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51,000</w:t>
            </w:r>
          </w:p>
        </w:tc>
        <w:tc>
          <w:tcPr>
            <w:tcW w:w="2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80"/>
              <w:spacing w:after="0" w:line="18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3,102,762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Operating Officer</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740" w:type="dxa"/>
            <w:vAlign w:val="bottom"/>
            <w:gridSpan w:val="2"/>
          </w:tcPr>
          <w:p>
            <w:pPr>
              <w:spacing w:after="0" w:line="184" w:lineRule="exact"/>
              <w:rPr>
                <w:sz w:val="20"/>
                <w:szCs w:val="20"/>
                <w:color w:val="auto"/>
              </w:rPr>
            </w:pPr>
            <w:r>
              <w:rPr>
                <w:rFonts w:ascii="Arial" w:cs="Arial" w:eastAsia="Arial" w:hAnsi="Arial"/>
                <w:sz w:val="18"/>
                <w:szCs w:val="18"/>
                <w:color w:val="auto"/>
              </w:rPr>
              <w:t>Jin-Long Chen, Ph.D.</w:t>
            </w:r>
          </w:p>
        </w:tc>
        <w:tc>
          <w:tcPr>
            <w:tcW w:w="460" w:type="dxa"/>
            <w:vAlign w:val="bottom"/>
          </w:tcPr>
          <w:p>
            <w:pPr>
              <w:ind w:left="60"/>
              <w:spacing w:after="0" w:line="184" w:lineRule="exact"/>
              <w:rPr>
                <w:sz w:val="20"/>
                <w:szCs w:val="20"/>
                <w:color w:val="auto"/>
              </w:rPr>
            </w:pPr>
            <w:r>
              <w:rPr>
                <w:rFonts w:ascii="Arial" w:cs="Arial" w:eastAsia="Arial" w:hAnsi="Arial"/>
                <w:sz w:val="18"/>
                <w:szCs w:val="18"/>
                <w:color w:val="auto"/>
                <w:w w:val="94"/>
              </w:rPr>
              <w:t>2018</w:t>
            </w:r>
          </w:p>
        </w:tc>
        <w:tc>
          <w:tcPr>
            <w:tcW w:w="260" w:type="dxa"/>
            <w:vAlign w:val="bottom"/>
          </w:tcPr>
          <w:p>
            <w:pPr>
              <w:spacing w:after="0"/>
              <w:rPr>
                <w:sz w:val="15"/>
                <w:szCs w:val="15"/>
                <w:color w:val="auto"/>
              </w:rPr>
            </w:pPr>
          </w:p>
        </w:tc>
        <w:tc>
          <w:tcPr>
            <w:tcW w:w="720" w:type="dxa"/>
            <w:vAlign w:val="bottom"/>
          </w:tcPr>
          <w:p>
            <w:pPr>
              <w:jc w:val="right"/>
              <w:spacing w:after="0" w:line="184" w:lineRule="exact"/>
              <w:rPr>
                <w:sz w:val="20"/>
                <w:szCs w:val="20"/>
                <w:color w:val="auto"/>
              </w:rPr>
            </w:pPr>
            <w:r>
              <w:rPr>
                <w:rFonts w:ascii="Arial" w:cs="Arial" w:eastAsia="Arial" w:hAnsi="Arial"/>
                <w:sz w:val="18"/>
                <w:szCs w:val="18"/>
                <w:color w:val="auto"/>
              </w:rPr>
              <w:t>485,000</w:t>
            </w:r>
          </w:p>
        </w:tc>
        <w:tc>
          <w:tcPr>
            <w:tcW w:w="260" w:type="dxa"/>
            <w:vAlign w:val="bottom"/>
          </w:tcPr>
          <w:p>
            <w:pPr>
              <w:spacing w:after="0"/>
              <w:rPr>
                <w:sz w:val="15"/>
                <w:szCs w:val="15"/>
                <w:color w:val="auto"/>
              </w:rPr>
            </w:pPr>
          </w:p>
        </w:tc>
        <w:tc>
          <w:tcPr>
            <w:tcW w:w="860" w:type="dxa"/>
            <w:vAlign w:val="bottom"/>
          </w:tcPr>
          <w:p>
            <w:pPr>
              <w:jc w:val="right"/>
              <w:spacing w:after="0" w:line="184" w:lineRule="exact"/>
              <w:rPr>
                <w:sz w:val="20"/>
                <w:szCs w:val="20"/>
                <w:color w:val="auto"/>
              </w:rPr>
            </w:pPr>
            <w:r>
              <w:rPr>
                <w:rFonts w:ascii="Arial" w:cs="Arial" w:eastAsia="Arial" w:hAnsi="Arial"/>
                <w:sz w:val="18"/>
                <w:szCs w:val="18"/>
                <w:color w:val="auto"/>
              </w:rPr>
              <w:t>1,065,739</w:t>
            </w:r>
          </w:p>
        </w:tc>
        <w:tc>
          <w:tcPr>
            <w:tcW w:w="260" w:type="dxa"/>
            <w:vAlign w:val="bottom"/>
          </w:tcPr>
          <w:p>
            <w:pPr>
              <w:spacing w:after="0"/>
              <w:rPr>
                <w:sz w:val="15"/>
                <w:szCs w:val="15"/>
                <w:color w:val="auto"/>
              </w:rPr>
            </w:pPr>
          </w:p>
        </w:tc>
        <w:tc>
          <w:tcPr>
            <w:tcW w:w="1000" w:type="dxa"/>
            <w:vAlign w:val="bottom"/>
          </w:tcPr>
          <w:p>
            <w:pPr>
              <w:jc w:val="right"/>
              <w:spacing w:after="0" w:line="184" w:lineRule="exact"/>
              <w:rPr>
                <w:sz w:val="20"/>
                <w:szCs w:val="20"/>
                <w:color w:val="auto"/>
              </w:rPr>
            </w:pPr>
            <w:r>
              <w:rPr>
                <w:rFonts w:ascii="Arial" w:cs="Arial" w:eastAsia="Arial" w:hAnsi="Arial"/>
                <w:sz w:val="18"/>
                <w:szCs w:val="18"/>
                <w:color w:val="auto"/>
              </w:rPr>
              <w:t>58,200</w:t>
            </w:r>
          </w:p>
        </w:tc>
        <w:tc>
          <w:tcPr>
            <w:tcW w:w="12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750</w:t>
            </w:r>
          </w:p>
        </w:tc>
        <w:tc>
          <w:tcPr>
            <w:tcW w:w="260" w:type="dxa"/>
            <w:vAlign w:val="bottom"/>
          </w:tcPr>
          <w:p>
            <w:pPr>
              <w:spacing w:after="0"/>
              <w:rPr>
                <w:sz w:val="15"/>
                <w:szCs w:val="15"/>
                <w:color w:val="auto"/>
              </w:rPr>
            </w:pPr>
          </w:p>
        </w:tc>
        <w:tc>
          <w:tcPr>
            <w:tcW w:w="860" w:type="dxa"/>
            <w:vAlign w:val="bottom"/>
          </w:tcPr>
          <w:p>
            <w:pPr>
              <w:jc w:val="right"/>
              <w:spacing w:after="0" w:line="184" w:lineRule="exact"/>
              <w:rPr>
                <w:sz w:val="20"/>
                <w:szCs w:val="20"/>
                <w:color w:val="auto"/>
              </w:rPr>
            </w:pPr>
            <w:r>
              <w:rPr>
                <w:rFonts w:ascii="Arial" w:cs="Arial" w:eastAsia="Arial" w:hAnsi="Arial"/>
                <w:sz w:val="18"/>
                <w:szCs w:val="18"/>
                <w:color w:val="auto"/>
              </w:rPr>
              <w:t>1,609,689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Founder and Chief Scientific Officer</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2017</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460,000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1,136,366</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1,652,316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740" w:right="20" w:hanging="536"/>
        <w:spacing w:after="0" w:line="248"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Amounts reflect the grant date fair value of option awards granted in the applicable year measured pursuant to Financial Accounting Standard Board Accounting Standard Codification, Topic 718. For information regarding assumptions underlying the value of equity awards, see Note 2 to our consolidated financial statements and the discussion under “Management’s Discussion and Analysis of Financial Condition and Results of Operations—Critical Accounting Policies and Estimates—Stock-Based Compensation,” included elsewhere in this prospectus. These amounts do not reflect actual value that the named executive officers may realize.</w:t>
      </w:r>
    </w:p>
    <w:p>
      <w:pPr>
        <w:spacing w:after="0" w:line="2" w:lineRule="exact"/>
        <w:rPr>
          <w:rFonts w:ascii="Arial" w:cs="Arial" w:eastAsia="Arial" w:hAnsi="Arial"/>
          <w:sz w:val="17"/>
          <w:szCs w:val="17"/>
          <w:color w:val="auto"/>
        </w:rPr>
      </w:pPr>
    </w:p>
    <w:p>
      <w:pPr>
        <w:ind w:left="740" w:right="160" w:hanging="536"/>
        <w:spacing w:after="0" w:line="234" w:lineRule="auto"/>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represent the annual performance-based cash bonuses earned by our named executive officers based on the achievement of certain corporate performance objectives and individual performance during 2017 and 2018. These amounts were paid to the named executive officers in early 2018 and 2019, respectively. Please see the descriptions of the annual performance bonuses paid to our named executive officers under “Performance Bonuses” below.</w:t>
      </w:r>
    </w:p>
    <w:p>
      <w:pPr>
        <w:spacing w:after="0" w:line="3" w:lineRule="exact"/>
        <w:rPr>
          <w:rFonts w:ascii="Arial" w:cs="Arial" w:eastAsia="Arial" w:hAnsi="Arial"/>
          <w:sz w:val="18"/>
          <w:szCs w:val="18"/>
          <w:color w:val="auto"/>
        </w:rPr>
      </w:pPr>
    </w:p>
    <w:p>
      <w:pPr>
        <w:ind w:left="740" w:right="40" w:hanging="53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shown in this column represent defined contribution retirement matching contributions provided to the named executive officers on the same terms as provided to all of our regular full-time employees in the United States. For more information regarding these benefits, see below under “—401(k) Plan and Matching Plan.”</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26"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2017 and 2018. Each of our named executive officers’ target bonus is expressed as a percentage of base salary that can be achieved by meeting corporate goals at target level. The annual bonuses for each of our named executive officers were targeted at 12% of their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spacing w:after="0" w:line="246" w:lineRule="auto"/>
        <w:rPr>
          <w:sz w:val="20"/>
          <w:szCs w:val="20"/>
          <w:color w:val="auto"/>
        </w:rPr>
      </w:pPr>
      <w:r>
        <w:rPr>
          <w:rFonts w:ascii="Arial" w:cs="Arial" w:eastAsia="Arial" w:hAnsi="Arial"/>
          <w:sz w:val="18"/>
          <w:szCs w:val="18"/>
          <w:color w:val="auto"/>
        </w:rPr>
        <w:t>respective base salaries. Pursuant to the bonus program, we expect the same target bonuses for each of these officers in 2019 as in 2018.</w:t>
      </w:r>
    </w:p>
    <w:p>
      <w:pPr>
        <w:spacing w:after="0" w:line="197"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For 2017 and 2018, our named executive officers were eligible to earn annual cash bonuses based on the achievement of certain corporate performance objectives approved by the compensation committee and our board of directors, as well as individual performance. For 2018, our board of directors set corporate performance goals in the three broad strategic areas of advancing therapeutic programs through development, discovering new molecules through an active research program and building capability. Each area included specific performance objectives.</w:t>
      </w:r>
    </w:p>
    <w:p>
      <w:pPr>
        <w:spacing w:after="0" w:line="203"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In early 2019, the compensation committee reviewed and approved the achievement of our 2018 corporate goals and determined that the corporate goals were met. Based on this level of corporate achievement, the bonus pool for the company was fully funded.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6"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Each of our named executive officers currently hold options or restricted stock. In 2018, Drs. Woodhouse, Trombley, and Chen and Mr. Rieflin were granted options to purchase our common stock, in each case, pursuant to our 2018 Equity Incentive Plan.</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January 2018, our board of directors granted to Drs. Woodhouse, Trombley and Chen and Mr. Rieflin options to purchase 62,500, 62,500, 200,000 and 225,000 shares of our common stock, respectively, which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each month from January 1, 2018, subject to each executive officer’s continued service to us on each applicable vesting date. In addition, the options granted to Drs. Woodhouse and Trombley and Mr. Rieflin are subject to the accelerated vesting provisions set forth in their respective employment agreement, as described below under “Other Elements of Compensation—Potential Payments Upon Termination or Change of Control.”</w:t>
      </w:r>
    </w:p>
    <w:p>
      <w:pPr>
        <w:spacing w:after="0" w:line="205" w:lineRule="exact"/>
        <w:rPr>
          <w:sz w:val="20"/>
          <w:szCs w:val="20"/>
          <w:color w:val="auto"/>
        </w:rPr>
      </w:pPr>
    </w:p>
    <w:p>
      <w:pPr>
        <w:jc w:val="both"/>
        <w:ind w:left="200" w:right="120" w:firstLine="551"/>
        <w:spacing w:after="0"/>
        <w:rPr>
          <w:sz w:val="20"/>
          <w:szCs w:val="20"/>
          <w:color w:val="auto"/>
        </w:rPr>
      </w:pPr>
      <w:r>
        <w:rPr>
          <w:rFonts w:ascii="Arial" w:cs="Arial" w:eastAsia="Arial" w:hAnsi="Arial"/>
          <w:sz w:val="18"/>
          <w:szCs w:val="18"/>
          <w:color w:val="auto"/>
        </w:rPr>
        <w:t>In July 2018, our board of directors granted to Drs. Woodhouse and Trombley options to purchase 500,000 and 350,000 shares of our common stock, respectively, which vest as to 1/48th of the shares subject to the option each month from July 13, 2018, subject to the executive officer’s continued service to us on each applicable vesting date.</w:t>
      </w:r>
    </w:p>
    <w:p>
      <w:pPr>
        <w:spacing w:after="0" w:line="20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In March 2019, our board of directors and our stockholders approved the amendment and restatement of our 2018 Equity Incentive Plan, or the Restated 2018 Plan, to facilitate the grant of cash and equity incentives to directors, employees (including our named executive officers) and consultants and to enable us to obtain and retain services of these individuals, which is essential to our long-term success. The Restated 2018 Plan will become effective upon the completion of this offering. For additional information about the Restated 2018 Plan, please see the section titled “Equity Incentive Plans” below.</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26"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The following table provides information regarding equity awards held by the named executive officers that were outstanding as of December 31, 2018.</w:t>
      </w:r>
    </w:p>
    <w:p>
      <w:pPr>
        <w:sectPr>
          <w:pgSz w:w="11900" w:h="16838" w:orient="portrait"/>
          <w:cols w:equalWidth="0" w:num="1">
            <w:col w:w="11200"/>
          </w:cols>
          <w:pgMar w:left="240" w:top="46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Name</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David J. Woodhouse, Ph.D.</w:t>
      </w: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Aetna Wun Trombley,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William J. Rieflin</w:t>
      </w: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Jin-Long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1048385</wp:posOffset>
            </wp:positionV>
            <wp:extent cx="6946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Option Awards(1)</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Market</w:t>
            </w:r>
          </w:p>
        </w:tc>
      </w:tr>
      <w:tr>
        <w:trPr>
          <w:trHeight w:val="162"/>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r>
      <w:tr>
        <w:trPr>
          <w:trHeight w:val="162"/>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r>
      <w:tr>
        <w:trPr>
          <w:trHeight w:val="162"/>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Shares 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Units of</w:t>
            </w:r>
          </w:p>
        </w:tc>
      </w:tr>
      <w:tr>
        <w:trPr>
          <w:trHeight w:val="162"/>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Units of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Stock That</w:t>
            </w:r>
          </w:p>
        </w:tc>
      </w:tr>
      <w:tr>
        <w:trPr>
          <w:trHeight w:val="162"/>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Unexercised</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3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Stock (#) That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r>
      <w:tr>
        <w:trPr>
          <w:trHeight w:val="162"/>
        </w:trPr>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3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Have Not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Vested ($)</w:t>
            </w:r>
          </w:p>
        </w:tc>
      </w:tr>
      <w:tr>
        <w:trPr>
          <w:trHeight w:val="175"/>
        </w:trPr>
        <w:tc>
          <w:tcPr>
            <w:tcW w:w="800" w:type="dxa"/>
            <w:vAlign w:val="bottom"/>
          </w:tcPr>
          <w:p>
            <w:pPr>
              <w:jc w:val="right"/>
              <w:ind w:right="160"/>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30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rPr>
              <w:t>Unexercisable</w:t>
            </w:r>
          </w:p>
        </w:tc>
        <w:tc>
          <w:tcPr>
            <w:tcW w:w="32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3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Vested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r>
      <w:tr>
        <w:trPr>
          <w:trHeight w:val="20"/>
        </w:trPr>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84"/>
        </w:trPr>
        <w:tc>
          <w:tcPr>
            <w:tcW w:w="800" w:type="dxa"/>
            <w:vAlign w:val="bottom"/>
          </w:tcPr>
          <w:p>
            <w:pPr>
              <w:jc w:val="right"/>
              <w:spacing w:after="0"/>
              <w:rPr>
                <w:sz w:val="20"/>
                <w:szCs w:val="20"/>
                <w:color w:val="auto"/>
              </w:rPr>
            </w:pPr>
            <w:r>
              <w:rPr>
                <w:rFonts w:ascii="Arial" w:cs="Arial" w:eastAsia="Arial" w:hAnsi="Arial"/>
                <w:sz w:val="16"/>
                <w:szCs w:val="16"/>
                <w:color w:val="auto"/>
              </w:rPr>
              <w:t>4/22/2015</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4/21/2025</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1/20/2017</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7.70</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1/19/2027</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1/31/2018</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62,500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8.14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1/30/2028</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800" w:type="dxa"/>
            <w:vAlign w:val="bottom"/>
          </w:tcPr>
          <w:p>
            <w:pPr>
              <w:jc w:val="right"/>
              <w:spacing w:after="0"/>
              <w:rPr>
                <w:sz w:val="20"/>
                <w:szCs w:val="20"/>
                <w:color w:val="auto"/>
              </w:rPr>
            </w:pPr>
            <w:r>
              <w:rPr>
                <w:rFonts w:ascii="Arial" w:cs="Arial" w:eastAsia="Arial" w:hAnsi="Arial"/>
                <w:sz w:val="16"/>
                <w:szCs w:val="16"/>
                <w:color w:val="auto"/>
              </w:rPr>
              <w:t>7/25/2018</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11.00</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7/24/2028</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800" w:type="dxa"/>
            <w:vAlign w:val="bottom"/>
          </w:tcPr>
          <w:p>
            <w:pPr>
              <w:jc w:val="right"/>
              <w:spacing w:after="0"/>
              <w:rPr>
                <w:sz w:val="20"/>
                <w:szCs w:val="20"/>
                <w:color w:val="auto"/>
              </w:rPr>
            </w:pPr>
            <w:r>
              <w:rPr>
                <w:rFonts w:ascii="Arial" w:cs="Arial" w:eastAsia="Arial" w:hAnsi="Arial"/>
                <w:sz w:val="16"/>
                <w:szCs w:val="16"/>
                <w:color w:val="auto"/>
              </w:rPr>
              <w:t>9/14/2011</w:t>
            </w:r>
          </w:p>
        </w:tc>
        <w:tc>
          <w:tcPr>
            <w:tcW w:w="3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32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9/13/2021</w:t>
            </w:r>
          </w:p>
        </w:tc>
        <w:tc>
          <w:tcPr>
            <w:tcW w:w="340" w:type="dxa"/>
            <w:vAlign w:val="bottom"/>
          </w:tcPr>
          <w:p>
            <w:pPr>
              <w:spacing w:after="0"/>
              <w:rPr>
                <w:sz w:val="17"/>
                <w:szCs w:val="17"/>
                <w:color w:val="auto"/>
              </w:rPr>
            </w:pPr>
          </w:p>
        </w:tc>
        <w:tc>
          <w:tcPr>
            <w:tcW w:w="128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1/24/2013</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62,500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1/23/2023</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1/24/2014</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62,500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1/23/2024</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1/31/2015</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75,000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1/30/2025</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6/16/2015</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7.64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6/15/2025</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1/27/2016</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7.64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1/26/2026</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1/20/2017</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7.70</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1/19/2027</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1/31/2018</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62,500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8.14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1/30/2028</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7/25/2018</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350,000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11.00</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7/24/2028</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1/31/2015(3)</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4,428</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53,396</w:t>
            </w:r>
          </w:p>
        </w:tc>
      </w:tr>
      <w:tr>
        <w:trPr>
          <w:trHeight w:val="189"/>
        </w:trPr>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1/27/2016(4)</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64,323</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775,735</w:t>
            </w:r>
          </w:p>
        </w:tc>
      </w:tr>
      <w:tr>
        <w:trPr>
          <w:trHeight w:val="189"/>
        </w:trPr>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1/20/2017(5)</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123,698</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1,491,798</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1/31/2018</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225,000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8.14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1/30/2028</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2/25/2010</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0.52</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2/24/2020</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2/11/2011</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0.60</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2/10/2021</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3/2/2012</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162,500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3/1/2022</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1/24/2013</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175,000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1/23/2023</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1/24/2014</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175,000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1/23/2024</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1/31/2015</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1/30/2025</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1/27/2016</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225,000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7.64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1/26/2026</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6"/>
                <w:szCs w:val="16"/>
                <w:color w:val="auto"/>
              </w:rPr>
              <w:t>1/20/2017</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225,000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7.70</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1/19/2027</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800" w:type="dxa"/>
            <w:vAlign w:val="bottom"/>
          </w:tcPr>
          <w:p>
            <w:pPr>
              <w:jc w:val="right"/>
              <w:spacing w:after="0"/>
              <w:rPr>
                <w:sz w:val="20"/>
                <w:szCs w:val="20"/>
                <w:color w:val="auto"/>
              </w:rPr>
            </w:pPr>
            <w:r>
              <w:rPr>
                <w:rFonts w:ascii="Arial" w:cs="Arial" w:eastAsia="Arial" w:hAnsi="Arial"/>
                <w:sz w:val="16"/>
                <w:szCs w:val="16"/>
                <w:color w:val="auto"/>
              </w:rPr>
              <w:t>1/31/2018</w:t>
            </w:r>
          </w:p>
        </w:tc>
        <w:tc>
          <w:tcPr>
            <w:tcW w:w="3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8.14</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1/30/2028</w:t>
            </w:r>
          </w:p>
        </w:tc>
        <w:tc>
          <w:tcPr>
            <w:tcW w:w="3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-1948180</wp:posOffset>
            </wp:positionH>
            <wp:positionV relativeFrom="paragraph">
              <wp:posOffset>-3142615</wp:posOffset>
            </wp:positionV>
            <wp:extent cx="6997700"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-2894330</wp:posOffset>
            </wp:positionV>
            <wp:extent cx="6997700" cy="1200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-2654300</wp:posOffset>
            </wp:positionV>
            <wp:extent cx="6997700"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-2405380</wp:posOffset>
            </wp:positionV>
            <wp:extent cx="699770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-2165350</wp:posOffset>
            </wp:positionV>
            <wp:extent cx="6997700" cy="1200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-1925320</wp:posOffset>
            </wp:positionV>
            <wp:extent cx="6997700"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-1685290</wp:posOffset>
            </wp:positionV>
            <wp:extent cx="6997700"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-1444625</wp:posOffset>
            </wp:positionV>
            <wp:extent cx="6997700" cy="1200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-1204595</wp:posOffset>
            </wp:positionV>
            <wp:extent cx="6997700"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-964565</wp:posOffset>
            </wp:positionV>
            <wp:extent cx="6997700"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-724535</wp:posOffset>
            </wp:positionV>
            <wp:extent cx="6997700" cy="1200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-484505</wp:posOffset>
            </wp:positionV>
            <wp:extent cx="6997700" cy="120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-244475</wp:posOffset>
            </wp:positionV>
            <wp:extent cx="699770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2560" w:space="720"/>
            <w:col w:w="7920"/>
          </w:cols>
          <w:pgMar w:left="240" w:top="460" w:right="459" w:bottom="1440" w:gutter="0" w:footer="0" w:header="0"/>
          <w:type w:val="continuous"/>
        </w:sectPr>
      </w:pPr>
    </w:p>
    <w:p>
      <w:pPr>
        <w:ind w:left="740" w:hanging="536"/>
        <w:spacing w:after="0" w:line="246" w:lineRule="auto"/>
        <w:tabs>
          <w:tab w:leader="none" w:pos="7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Unless otherwise noted, shares subject to the options vest on a monthly basis upon the vesting commencement date over 48 months, subject to the continued service with us through each vesting date. The options are subject to an early exercise right and may be exercised in full prior to the vesting of the shares underlying the stock option.</w:t>
      </w:r>
    </w:p>
    <w:p>
      <w:pPr>
        <w:spacing w:after="0" w:line="1" w:lineRule="exact"/>
        <w:rPr>
          <w:rFonts w:ascii="Arial" w:cs="Arial" w:eastAsia="Arial" w:hAnsi="Arial"/>
          <w:sz w:val="16"/>
          <w:szCs w:val="16"/>
          <w:color w:val="auto"/>
        </w:rPr>
      </w:pPr>
    </w:p>
    <w:p>
      <w:pPr>
        <w:ind w:left="740" w:right="100" w:hanging="536"/>
        <w:spacing w:after="0" w:line="246" w:lineRule="auto"/>
        <w:tabs>
          <w:tab w:leader="none" w:pos="7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Because our common stock was not traded on a public market on December 31, 2018, the market value has been calculated based on an assumed fair market value of our common stock of $12.06 per share as of December 31, 2018. See the section titled “Management’s Discussion and Analysis of Financial Condition and Results of Operations—Critical Accounting Policies and Estimates—Stock-Based Compensation.”</w:t>
      </w:r>
    </w:p>
    <w:p>
      <w:pPr>
        <w:spacing w:after="0" w:line="1" w:lineRule="exact"/>
        <w:rPr>
          <w:rFonts w:ascii="Arial" w:cs="Arial" w:eastAsia="Arial" w:hAnsi="Arial"/>
          <w:sz w:val="16"/>
          <w:szCs w:val="16"/>
          <w:color w:val="auto"/>
        </w:rPr>
      </w:pPr>
    </w:p>
    <w:p>
      <w:pPr>
        <w:ind w:left="740" w:right="100" w:hanging="536"/>
        <w:spacing w:after="0" w:line="246" w:lineRule="auto"/>
        <w:tabs>
          <w:tab w:leader="none" w:pos="7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212,500 shares of common stock granted on January 31, 2015. Our right to repurchase the unvested shares lapse in equal increments on a monthly basis through December 31, 2018.</w:t>
      </w:r>
    </w:p>
    <w:p>
      <w:pPr>
        <w:ind w:left="740" w:right="100" w:hanging="536"/>
        <w:spacing w:after="0" w:line="246" w:lineRule="auto"/>
        <w:tabs>
          <w:tab w:leader="none" w:pos="7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237,500 shares of common stock granted on January 27, 2016. Our right to repurchase the unvested shares lapse in equal increments on a monthly basis through December 31, 2018.</w:t>
      </w:r>
    </w:p>
    <w:p>
      <w:pPr>
        <w:ind w:left="740" w:right="100" w:hanging="536"/>
        <w:spacing w:after="0" w:line="260" w:lineRule="auto"/>
        <w:tabs>
          <w:tab w:leader="none" w:pos="7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237,500 shares of common stock granted on January 20, 2017. Our right to repurchase the unvested shares lapse in equal increments on a monthly basis through December 31, 2018.</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240" w:top="460" w:right="45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Elements of Compensation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126" w:lineRule="exact"/>
        <w:rPr>
          <w:sz w:val="20"/>
          <w:szCs w:val="20"/>
          <w:color w:val="auto"/>
        </w:rPr>
      </w:pPr>
    </w:p>
    <w:p>
      <w:pPr>
        <w:ind w:left="200" w:right="200" w:firstLine="551"/>
        <w:spacing w:after="0" w:line="237" w:lineRule="auto"/>
        <w:rPr>
          <w:sz w:val="20"/>
          <w:szCs w:val="20"/>
          <w:color w:val="auto"/>
        </w:rPr>
      </w:pPr>
      <w:r>
        <w:rPr>
          <w:rFonts w:ascii="Arial" w:cs="Arial" w:eastAsia="Arial" w:hAnsi="Arial"/>
          <w:sz w:val="18"/>
          <w:szCs w:val="18"/>
          <w:color w:val="auto"/>
        </w:rPr>
        <w:t>Our named executive officers are eligible to participate in all of our employee benefit plans, such as medical, dental, vision, group life, short and long-term disability plans, in each case on the same basis as other employees, subject to applicable laws. We provide a 401(k) plan and a matching plan to our employees, including our named executive officers, as discussed in the section below titled “— 401(k) Plan and Matching Plan.” We also provide vacation and other paid holidays to all employees, including our named executive officers. We do not provide a pension plan for our employees, and none of our named executive officers participated in a nonqualified deferred compensation plan in 2018.</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401(k) Plan and Matching Plan</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maintain a defined contribution employee retirement plan for our employees.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$19,000 for 2019. Participants who are at least 50 years old can also make “catch-up” contributions, which in 2019 may be up to an additional $6,000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NGM Biopharmaceuticals Matching Plan, or 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is generally equal to 50% of the participant’s plan contribution, up to a maximum employer contribution of $ 1,500 per year.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provide perquisites or other personal benefits to our named executive officers.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26" w:lineRule="exact"/>
        <w:rPr>
          <w:sz w:val="20"/>
          <w:szCs w:val="20"/>
          <w:color w:val="auto"/>
        </w:rPr>
      </w:pPr>
    </w:p>
    <w:p>
      <w:pPr>
        <w:ind w:left="200" w:right="800" w:firstLine="551"/>
        <w:spacing w:after="0" w:line="246" w:lineRule="auto"/>
        <w:rPr>
          <w:sz w:val="20"/>
          <w:szCs w:val="20"/>
          <w:color w:val="auto"/>
        </w:rPr>
      </w:pPr>
      <w:r>
        <w:rPr>
          <w:rFonts w:ascii="Arial" w:cs="Arial" w:eastAsia="Arial" w:hAnsi="Arial"/>
          <w:sz w:val="18"/>
          <w:szCs w:val="18"/>
          <w:color w:val="auto"/>
        </w:rPr>
        <w:t>In 2017 and 2018, we did not make gross-up payments to cover our named executive officers’ personal income taxes that pertained to any of the compensation or perquisites paid or provided by our company.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Agreements with our Named Executive Officers</w:t>
      </w:r>
    </w:p>
    <w:p>
      <w:pPr>
        <w:spacing w:after="0" w:line="108" w:lineRule="exact"/>
        <w:rPr>
          <w:sz w:val="20"/>
          <w:szCs w:val="20"/>
          <w:color w:val="auto"/>
        </w:rPr>
      </w:pPr>
    </w:p>
    <w:p>
      <w:pPr>
        <w:ind w:left="200" w:right="260" w:firstLine="551"/>
        <w:spacing w:after="0" w:line="251" w:lineRule="auto"/>
        <w:rPr>
          <w:sz w:val="20"/>
          <w:szCs w:val="20"/>
          <w:color w:val="auto"/>
        </w:rPr>
      </w:pPr>
      <w:r>
        <w:rPr>
          <w:rFonts w:ascii="Arial" w:cs="Arial" w:eastAsia="Arial" w:hAnsi="Arial"/>
          <w:sz w:val="18"/>
          <w:szCs w:val="18"/>
          <w:i w:val="1"/>
          <w:iCs w:val="1"/>
          <w:color w:val="auto"/>
        </w:rPr>
        <w:t xml:space="preserve">Offer Letters or Employment Agreements. </w:t>
      </w:r>
      <w:r>
        <w:rPr>
          <w:rFonts w:ascii="Arial" w:cs="Arial" w:eastAsia="Arial" w:hAnsi="Arial"/>
          <w:sz w:val="18"/>
          <w:szCs w:val="18"/>
          <w:color w:val="auto"/>
        </w:rPr>
        <w:t>We have entered into offer letters or employment agreements with all of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We designed these agreements to be part of a competitive compensation package and to keep our named executive officers focused on our business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goals and objectives. These agreements provide for base salaries and incentive compensation, and each component reflects the scope of each named executive officer’s anticipated responsibilities and the individual experience they bring to the company. Each named executive officer is also eligible to participate in our employee benefit plans on the same terms as other regular, full-time employees. The employment of each of our named executive officers is “at will” and may be terminated at any time. In addition, each of our named executive officers has executed a form of our standard proprietary information and inventions agreement. The key terms of the offer letters or employment agreements are described below.</w:t>
      </w:r>
    </w:p>
    <w:p>
      <w:pPr>
        <w:spacing w:after="0" w:line="205"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We entered into an employment agreement with Dr. Woodhouse effective as of January 28, 2015. Pursuant to Dr. Woodhouse’s employment agreement, we agreed to an initial annual base salary of $300,000. We also agreed to grant Dr. Woodhouse options to purchase shares of our common stock, subject to approval by our board of directors. Dr. Woodhouse’s annual base salary was increased from $330,000 to $350,000 effective January 1, 2018.</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July 25, 2018, we entered into a new employment agreement with Dr. Woodhouse upon his promotion to Chief Executive</w:t>
      </w:r>
    </w:p>
    <w:p>
      <w:pPr>
        <w:ind w:left="200"/>
        <w:spacing w:after="0" w:line="234" w:lineRule="auto"/>
        <w:rPr>
          <w:sz w:val="20"/>
          <w:szCs w:val="20"/>
          <w:color w:val="auto"/>
        </w:rPr>
      </w:pPr>
      <w:r>
        <w:rPr>
          <w:rFonts w:ascii="Arial" w:cs="Arial" w:eastAsia="Arial" w:hAnsi="Arial"/>
          <w:sz w:val="18"/>
          <w:szCs w:val="18"/>
          <w:color w:val="auto"/>
        </w:rPr>
        <w:t>Officer. Pursuant to Dr. Woodhouse’s new employment agreement, we agreed to increase his annual base salary from $350,000 to</w:t>
      </w:r>
    </w:p>
    <w:p>
      <w:pPr>
        <w:ind w:left="200"/>
        <w:spacing w:after="0" w:line="235" w:lineRule="auto"/>
        <w:rPr>
          <w:sz w:val="20"/>
          <w:szCs w:val="20"/>
          <w:color w:val="auto"/>
        </w:rPr>
      </w:pPr>
      <w:r>
        <w:rPr>
          <w:rFonts w:ascii="Arial" w:cs="Arial" w:eastAsia="Arial" w:hAnsi="Arial"/>
          <w:sz w:val="18"/>
          <w:szCs w:val="18"/>
          <w:color w:val="auto"/>
        </w:rPr>
        <w:t>$475,000, effective July 1, 2018. We also agreed to grant Dr. Woodhouse options to purchase shares of our common stock, subject to</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approval by our board of directors.</w:t>
      </w:r>
    </w:p>
    <w:p>
      <w:pPr>
        <w:spacing w:after="0" w:line="21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entered into an employment agreement with Dr. Trombley effective as of April 28, 2011. Pursuant to Dr. Trombley’s employment agreement, we agreed to an initial annual base salary of $225,000. We also agreed to grant Dr. Trombley options to purchase share of our common stock, subject to approval by our board of directors. Dr. Trombley’s annual base salary was increased from $317,000 to $340,000 effective January 1, 2018.</w:t>
      </w:r>
    </w:p>
    <w:p>
      <w:pPr>
        <w:spacing w:after="0" w:line="202"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On July 25, 2018, we entered into a new employment agreement with Dr. Trombley upon her promotion to President and Chief Operating Officer. Pursuant to Dr. Trombley’s new employment agreement, we agreed to increase her annual base salary from $340,000 to $425,000, effective July 1, 2018. We also agreed to grant Dr. Trombley options to purchase shares of our common stock, subject to approval by our board of directors.</w:t>
      </w:r>
    </w:p>
    <w:p>
      <w:pPr>
        <w:spacing w:after="0" w:line="202"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We entered into an employment agreement with Mr. Rieflin effective as of September 30, 2010. Pursuant to Mr. Rieflin’s employment agreement, we agreed to an initial annual base salary of $400,000 and a hiring bonus of $100,000. We also agreed to grant to Mr. Rieflin options to purchase shares of our common stock, subject to approval by our board of directors. Mr. Rieflin’s annual base salary was increased from $545,000 to $575,000 effective January 1, 2018.</w:t>
      </w:r>
    </w:p>
    <w:p>
      <w:pPr>
        <w:spacing w:after="0" w:line="202"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We entered into an employment offer letter with Dr. Chen on January 7, 2008. Dr. Chen resigned from his position as President on October 31, 2014, but remained as Chief Scientific Officer. Pursuant to Dr. Chen’s employment offer letter, we agreed to an initial annual base salary of $300,000 and a hiring bonus of $50,000. We also agreed to grant to Dr. Chen founder’s shares of our common stock, subject to approval by our board of directors. Dr. Chen’s annual base salary was increased from $460,000 to $485,000 effective January 1,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26" w:lineRule="exact"/>
        <w:rPr>
          <w:sz w:val="20"/>
          <w:szCs w:val="20"/>
          <w:color w:val="auto"/>
        </w:rPr>
      </w:pPr>
    </w:p>
    <w:p>
      <w:pPr>
        <w:jc w:val="both"/>
        <w:ind w:left="200" w:right="180" w:firstLine="551"/>
        <w:spacing w:after="0"/>
        <w:rPr>
          <w:sz w:val="20"/>
          <w:szCs w:val="20"/>
          <w:color w:val="auto"/>
        </w:rPr>
      </w:pPr>
      <w:r>
        <w:rPr>
          <w:rFonts w:ascii="Arial" w:cs="Arial" w:eastAsia="Arial" w:hAnsi="Arial"/>
          <w:sz w:val="18"/>
          <w:szCs w:val="18"/>
          <w:color w:val="auto"/>
        </w:rPr>
        <w:t>The employment agreements with Drs. Woodhouse and Trombley and Mr. Rieflin described above under “—Agreements with our Named Executive Officers” contain severance benefits. These severance benefits provide that, in the event we terminate the executive’s employment without “cause,”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or he or she resigns for “good reason,” each as defined in the employment agreement, on or within 18 months following a change in control of the company, the named executive officer will be entitled to receive the severance benefits described below. These severance benefits are subject to the named executive officer executing a general release of claims in favor of us, and complying with his obligations under the proprietary information and inventions agreement entered into with us.</w:t>
      </w:r>
    </w:p>
    <w:p>
      <w:pPr>
        <w:spacing w:after="0" w:line="180" w:lineRule="exact"/>
        <w:rPr>
          <w:sz w:val="20"/>
          <w:szCs w:val="20"/>
          <w:color w:val="auto"/>
        </w:rPr>
      </w:pPr>
    </w:p>
    <w:p>
      <w:pPr>
        <w:ind w:left="760"/>
        <w:spacing w:after="0"/>
        <w:tabs>
          <w:tab w:leader="none" w:pos="3260" w:val="left"/>
        </w:tabs>
        <w:rPr>
          <w:sz w:val="20"/>
          <w:szCs w:val="20"/>
          <w:color w:val="auto"/>
        </w:rPr>
      </w:pPr>
      <w:r>
        <w:rPr>
          <w:rFonts w:ascii="Arial" w:cs="Arial" w:eastAsia="Arial" w:hAnsi="Arial"/>
          <w:sz w:val="18"/>
          <w:szCs w:val="18"/>
          <w:b w:val="1"/>
          <w:bCs w:val="1"/>
          <w:i w:val="1"/>
          <w:iCs w:val="1"/>
          <w:color w:val="auto"/>
        </w:rPr>
        <w:t>David J. Woodhouse, Ph.D.</w:t>
      </w:r>
      <w:r>
        <w:rPr>
          <w:sz w:val="20"/>
          <w:szCs w:val="20"/>
          <w:color w:val="auto"/>
        </w:rPr>
        <w:tab/>
      </w:r>
      <w:r>
        <w:rPr>
          <w:rFonts w:ascii="Arial" w:cs="Arial" w:eastAsia="Arial" w:hAnsi="Arial"/>
          <w:sz w:val="17"/>
          <w:szCs w:val="17"/>
          <w:color w:val="auto"/>
        </w:rPr>
        <w:t>In the event of a qualifying termination following a change in control, Dr. Woodhouse will be entitled</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(i) payments equal to 12 months of his base salary, as in effect on the date of his termination payable in substantially equal installments</w:t>
      </w:r>
    </w:p>
    <w:p>
      <w:pPr>
        <w:ind w:left="200"/>
        <w:spacing w:after="0" w:line="234" w:lineRule="auto"/>
        <w:rPr>
          <w:sz w:val="20"/>
          <w:szCs w:val="20"/>
          <w:color w:val="auto"/>
        </w:rPr>
      </w:pPr>
      <w:r>
        <w:rPr>
          <w:rFonts w:ascii="Arial" w:cs="Arial" w:eastAsia="Arial" w:hAnsi="Arial"/>
          <w:sz w:val="18"/>
          <w:szCs w:val="18"/>
          <w:color w:val="auto"/>
        </w:rPr>
        <w:t>in accordance with our normal payroll policies then in effect, less applicable withholdings, with such installments to commence on the first</w:t>
      </w:r>
    </w:p>
    <w:p>
      <w:pPr>
        <w:ind w:left="200"/>
        <w:spacing w:after="0" w:line="235" w:lineRule="auto"/>
        <w:rPr>
          <w:sz w:val="20"/>
          <w:szCs w:val="20"/>
          <w:color w:val="auto"/>
        </w:rPr>
      </w:pPr>
      <w:r>
        <w:rPr>
          <w:rFonts w:ascii="Arial" w:cs="Arial" w:eastAsia="Arial" w:hAnsi="Arial"/>
          <w:sz w:val="18"/>
          <w:szCs w:val="18"/>
          <w:color w:val="auto"/>
        </w:rPr>
        <w:t>payroll period following the later of the date of his termination and the effective date of his general release of claims; (ii) acceleration of any</w:t>
      </w:r>
    </w:p>
    <w:p>
      <w:pPr>
        <w:ind w:left="200"/>
        <w:spacing w:after="0" w:line="235" w:lineRule="auto"/>
        <w:rPr>
          <w:sz w:val="20"/>
          <w:szCs w:val="20"/>
          <w:color w:val="auto"/>
        </w:rPr>
      </w:pPr>
      <w:r>
        <w:rPr>
          <w:rFonts w:ascii="Arial" w:cs="Arial" w:eastAsia="Arial" w:hAnsi="Arial"/>
          <w:sz w:val="18"/>
          <w:szCs w:val="18"/>
          <w:color w:val="auto"/>
        </w:rPr>
        <w:t>unvested shares subject to outstanding equity awards held by Dr. Woodhouse on the date of his termination; and (iii) if elected by</w:t>
      </w:r>
    </w:p>
    <w:p>
      <w:pPr>
        <w:spacing w:after="0" w:line="1"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Dr. Woodhouse, payment or reimbursement of COBRA premiums through the earlier of 12 months from his termination date or the date he and his covered dependents, if any, cease to be eligible for such continued coverage.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 xml:space="preserve">Aetna Wun Trombley, Ph.D. </w:t>
      </w:r>
      <w:r>
        <w:rPr>
          <w:rFonts w:ascii="Arial" w:cs="Arial" w:eastAsia="Arial" w:hAnsi="Arial"/>
          <w:sz w:val="18"/>
          <w:szCs w:val="18"/>
          <w:color w:val="auto"/>
        </w:rPr>
        <w:t>In the event of a qualifying termination following a change in control, Dr. Trombley will be entitled to:</w:t>
      </w:r>
    </w:p>
    <w:p>
      <w:pPr>
        <w:spacing w:after="0" w:line="18" w:lineRule="exact"/>
        <w:rPr>
          <w:sz w:val="20"/>
          <w:szCs w:val="20"/>
          <w:color w:val="auto"/>
        </w:rPr>
      </w:pPr>
    </w:p>
    <w:p>
      <w:pPr>
        <w:ind w:left="200" w:right="120" w:firstLine="4"/>
        <w:spacing w:after="0" w:line="237" w:lineRule="auto"/>
        <w:tabs>
          <w:tab w:leader="none" w:pos="4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payments equal to 9 months of her base salary, as in effect on the date of her termination payable in substantially equal installments in accordance with our normal payroll policies then in effect, less applicable withholdings, with such installments to commence on the first payroll period following the later of the date of her termination and the effective date of her general release of claims; (ii) acceleration of any unvested shares subject to outstanding equity awards held by Dr. Trombley on the date of her termination; and (iii) if elected by Dr. Trombley payment or reimbursement of COBRA premiums through the earlier of 9 months from her termination date or the date she and her covered dependents, if any, cease to be eligible for such continued coverage.</w:t>
      </w:r>
    </w:p>
    <w:p>
      <w:pPr>
        <w:spacing w:after="0" w:line="183" w:lineRule="exact"/>
        <w:rPr>
          <w:sz w:val="20"/>
          <w:szCs w:val="20"/>
          <w:color w:val="auto"/>
        </w:rPr>
      </w:pPr>
    </w:p>
    <w:p>
      <w:pPr>
        <w:ind w:left="200" w:right="120" w:firstLine="551"/>
        <w:spacing w:after="0" w:line="241" w:lineRule="auto"/>
        <w:rPr>
          <w:sz w:val="20"/>
          <w:szCs w:val="20"/>
          <w:color w:val="auto"/>
        </w:rPr>
      </w:pPr>
      <w:r>
        <w:rPr>
          <w:rFonts w:ascii="Arial" w:cs="Arial" w:eastAsia="Arial" w:hAnsi="Arial"/>
          <w:sz w:val="18"/>
          <w:szCs w:val="18"/>
          <w:b w:val="1"/>
          <w:bCs w:val="1"/>
          <w:i w:val="1"/>
          <w:iCs w:val="1"/>
          <w:color w:val="auto"/>
        </w:rPr>
        <w:t xml:space="preserve">William J. Rieflin. </w:t>
      </w:r>
      <w:r>
        <w:rPr>
          <w:rFonts w:ascii="Arial" w:cs="Arial" w:eastAsia="Arial" w:hAnsi="Arial"/>
          <w:sz w:val="18"/>
          <w:szCs w:val="18"/>
          <w:color w:val="auto"/>
        </w:rPr>
        <w:t>In the event of a qualifying termination following a change in control, Mr. Rieflin will be entitled to: (i)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12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Mr. Rieflin on the date of his termination; and (iii) if elected by Mr. Rieflin, payment or reimbursement of COBRA premiums through the earlier of 12 months from his termination date or the date he and his covered dependents, if any, cease to be eligible for such continued coverage.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Mr. Rieflin’s employment agreement provides that in the event that the severance and other benefits provided for or</w:t>
      </w:r>
    </w:p>
    <w:p>
      <w:pPr>
        <w:ind w:left="200"/>
        <w:spacing w:after="0" w:line="234" w:lineRule="auto"/>
        <w:rPr>
          <w:sz w:val="20"/>
          <w:szCs w:val="20"/>
          <w:color w:val="auto"/>
        </w:rPr>
      </w:pPr>
      <w:r>
        <w:rPr>
          <w:rFonts w:ascii="Arial" w:cs="Arial" w:eastAsia="Arial" w:hAnsi="Arial"/>
          <w:sz w:val="18"/>
          <w:szCs w:val="18"/>
          <w:color w:val="auto"/>
        </w:rPr>
        <w:t>otherwise payable to him constitute “parachute payments” within the meaning of Section 280G of the Code and are subject to the excise</w:t>
      </w:r>
    </w:p>
    <w:p>
      <w:pPr>
        <w:ind w:left="200"/>
        <w:spacing w:after="0" w:line="235" w:lineRule="auto"/>
        <w:rPr>
          <w:sz w:val="20"/>
          <w:szCs w:val="20"/>
          <w:color w:val="auto"/>
        </w:rPr>
      </w:pPr>
      <w:r>
        <w:rPr>
          <w:rFonts w:ascii="Arial" w:cs="Arial" w:eastAsia="Arial" w:hAnsi="Arial"/>
          <w:sz w:val="18"/>
          <w:szCs w:val="18"/>
          <w:color w:val="auto"/>
        </w:rPr>
        <w:t>tax imposed by Section 4999 of the Code, and either the holders of at least 75% of the voting power of our capital stock as of</w:t>
      </w:r>
    </w:p>
    <w:p>
      <w:pPr>
        <w:ind w:left="200"/>
        <w:spacing w:after="0" w:line="235" w:lineRule="auto"/>
        <w:rPr>
          <w:sz w:val="20"/>
          <w:szCs w:val="20"/>
          <w:color w:val="auto"/>
        </w:rPr>
      </w:pPr>
      <w:r>
        <w:rPr>
          <w:rFonts w:ascii="Arial" w:cs="Arial" w:eastAsia="Arial" w:hAnsi="Arial"/>
          <w:sz w:val="18"/>
          <w:szCs w:val="18"/>
          <w:color w:val="auto"/>
        </w:rPr>
        <w:t>September 30, 2010 do not still hold at least 75% of such voting power at the time of any proposed stockholder vote to approve parachute</w:t>
      </w:r>
    </w:p>
    <w:p>
      <w:pPr>
        <w:ind w:left="200"/>
        <w:spacing w:after="0" w:line="235" w:lineRule="auto"/>
        <w:rPr>
          <w:sz w:val="20"/>
          <w:szCs w:val="20"/>
          <w:color w:val="auto"/>
        </w:rPr>
      </w:pPr>
      <w:r>
        <w:rPr>
          <w:rFonts w:ascii="Arial" w:cs="Arial" w:eastAsia="Arial" w:hAnsi="Arial"/>
          <w:sz w:val="18"/>
          <w:szCs w:val="18"/>
          <w:color w:val="auto"/>
        </w:rPr>
        <w:t>payments, or our board of directors does not recommend approval of such parachute payments, then Mr. Rieflin may be entitled to receive</w:t>
      </w:r>
    </w:p>
    <w:p>
      <w:pPr>
        <w:ind w:left="200"/>
        <w:spacing w:after="0" w:line="235" w:lineRule="auto"/>
        <w:rPr>
          <w:sz w:val="20"/>
          <w:szCs w:val="20"/>
          <w:color w:val="auto"/>
        </w:rPr>
      </w:pPr>
      <w:r>
        <w:rPr>
          <w:rFonts w:ascii="Arial" w:cs="Arial" w:eastAsia="Arial" w:hAnsi="Arial"/>
          <w:sz w:val="18"/>
          <w:szCs w:val="18"/>
          <w:color w:val="auto"/>
        </w:rPr>
        <w:t>an additional tax gross-up payment with respect to such federal excise tax obligations. Our obligation to provide such tax gross-up</w:t>
      </w:r>
    </w:p>
    <w:p>
      <w:pPr>
        <w:ind w:left="200"/>
        <w:spacing w:after="0"/>
        <w:rPr>
          <w:sz w:val="20"/>
          <w:szCs w:val="20"/>
          <w:color w:val="auto"/>
        </w:rPr>
      </w:pPr>
      <w:r>
        <w:rPr>
          <w:rFonts w:ascii="Arial" w:cs="Arial" w:eastAsia="Arial" w:hAnsi="Arial"/>
          <w:sz w:val="18"/>
          <w:szCs w:val="18"/>
          <w:color w:val="auto"/>
        </w:rPr>
        <w:t>payment will be terminated once we are a reporting company under the Exchange Act.</w:t>
      </w: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Incentive Plans</w:t>
      </w:r>
    </w:p>
    <w:p>
      <w:pPr>
        <w:spacing w:after="0" w:line="234" w:lineRule="exact"/>
        <w:rPr>
          <w:sz w:val="20"/>
          <w:szCs w:val="20"/>
          <w:color w:val="auto"/>
        </w:rPr>
      </w:pPr>
    </w:p>
    <w:p>
      <w:pPr>
        <w:ind w:left="200" w:right="580" w:firstLine="551"/>
        <w:spacing w:after="0" w:line="275"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2018 Equity Incentive Plan</w:t>
      </w:r>
    </w:p>
    <w:p>
      <w:pPr>
        <w:spacing w:after="0" w:line="126"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In January 2018 our board of directors adopted, and in May 2018, our stockholders approved, our 2018 Plan. In March 2019, our board of directors and our stockholders approved the amendment and restatement of our 2018 Plan, or the Restated 2018 Plan, in anticipation of becoming a publicly traded company and which will become effective upon the completion of this offering.</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Types of Awards; Eligibility</w:t>
      </w:r>
    </w:p>
    <w:p>
      <w:pPr>
        <w:spacing w:after="0" w:line="122" w:lineRule="exact"/>
        <w:rPr>
          <w:sz w:val="20"/>
          <w:szCs w:val="20"/>
          <w:color w:val="auto"/>
        </w:rPr>
      </w:pPr>
    </w:p>
    <w:p>
      <w:pPr>
        <w:ind w:left="200" w:right="300" w:firstLine="551"/>
        <w:spacing w:after="0" w:line="238" w:lineRule="auto"/>
        <w:rPr>
          <w:sz w:val="20"/>
          <w:szCs w:val="20"/>
          <w:color w:val="auto"/>
        </w:rPr>
      </w:pPr>
      <w:r>
        <w:rPr>
          <w:rFonts w:ascii="Arial" w:cs="Arial" w:eastAsia="Arial" w:hAnsi="Arial"/>
          <w:sz w:val="18"/>
          <w:szCs w:val="18"/>
          <w:color w:val="auto"/>
        </w:rPr>
        <w:t>The Restated 2018 Plan provides for the grant of incentive stock options, nonstatutory stock options, stock appreciation rights, restricted stock awards, restricted stock unit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Reserve</w:t>
      </w:r>
    </w:p>
    <w:p>
      <w:pPr>
        <w:spacing w:after="0" w:line="122"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Initially, we have reserved 17,874,624 shares of our common stock for issuance pursuant to the Restated 2018 Plan, subject to certain adjustments set forth in the plan, including any shares of common stock subject to awards outstanding under the 2008 Plan that terminate by expiration, forfeiture, cancellation or otherwise without the issuance of such shares, up to a maximum of 8,441,785 shares, are added to 2018 Plan share reserve.</w:t>
      </w:r>
    </w:p>
    <w:p>
      <w:pPr>
        <w:spacing w:after="0" w:line="20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number of shares available for issuance under the Restated 2018 Plan will automatically increase on January 1st of each calendar year for ten years, starting on January 1, 2019 (assuming the Restated 2018 Plan becomes effective in calendar year 2019) and ending on and including January 1, 2028, in an amount equal to 4.0% of the total number of issued and outstanding shares of our common stock as of December 31 of the immediately preceding year, or a lesser number of shares determined by our board of directors. The maximum number of shares of our common stock that may be issued upon the exercise of incentive stock options under our Restated 2018 Plan is 36,000,000 shares.</w:t>
      </w:r>
    </w:p>
    <w:p>
      <w:pPr>
        <w:spacing w:after="0" w:line="205"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Shares subject to awards granted under our Restated 2018 Plan that expire or terminate without being exercised in full, or that are paid out in cash rather than in shares, do not reduce the number of shares available for issuance under our Restated 2018 Plan. Additionally, shares become available for future grant under our Restated 2018 Plan if they were issued under our Restated 2018 Plan and we repurchase them or they are forfeited because they fail to vest. Shares used to pay the exercise price of a stock award or to satisfy the tax withholding obligations related to an award are also returned to the Restated 2018 Plan and become available for future grant. Shares issued under the Restated 2018 Plan may be previously unissued shares or reacquired shares bought by us on the open market.</w:t>
      </w:r>
    </w:p>
    <w:p>
      <w:pPr>
        <w:spacing w:after="0" w:line="205"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As of December 31, 2018, options to purchase a total of 2,591,630 shares of common stock at a weighted average exercise price of $9.42 were issued and outstanding under the 2018 Plan and 6,287 shares of common stock had been issued upon the exercise of options granted under the 2018 Plan.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w:t>
      </w:r>
    </w:p>
    <w:p>
      <w:pPr>
        <w:spacing w:after="0" w:line="122"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Our board of directors, or a duly authorized committee thereof, has the authority to administer the Restated 2018 Plan. Our board has delegated concurrent authority to administer our Restated 2018 Plan to the compensation committee under the terms of the compensation committee’s charter. Our board of directors may also delegate to one or more of our officers the authority to designate employees (other than other officers) to be recipients of certain awards, and determine the number of shares of common stock to be subject to such awards.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firstLine="551"/>
        <w:spacing w:after="0" w:line="239" w:lineRule="auto"/>
        <w:rPr>
          <w:sz w:val="20"/>
          <w:szCs w:val="20"/>
          <w:color w:val="auto"/>
        </w:rPr>
      </w:pPr>
      <w:r>
        <w:rPr>
          <w:rFonts w:ascii="Arial" w:cs="Arial" w:eastAsia="Arial" w:hAnsi="Arial"/>
          <w:sz w:val="18"/>
          <w:szCs w:val="18"/>
          <w:color w:val="auto"/>
        </w:rPr>
        <w:t>Subject to the terms of the Restated 2018 Plan, the plan administrator has the authority in its discretion to, among other things, select recipients of awards, determine the number of shares, terms and conditions and forms of agreement related to awards, construe and interpret terms of the plan and awards, and prescribe, amend and rescind rules related to the plan. All actions of the plan administrator will be final and binding on all persons.</w:t>
      </w:r>
    </w:p>
    <w:p>
      <w:pPr>
        <w:spacing w:after="0" w:line="202"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The plan administrator also has the authority to modify outstanding awards under our Restated 2018 Plan, and to reduce the exercise, purchase or strike price of any outstanding award, cancel any outstanding award in exchange for a new award, cash or other consideration, or take any other action that is treated as a repricing under generally accepted accounting principles, with the consent of any adversely affected participant.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Options</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Restated 2018 Plan authorizes the plan administrator to grant incentive stock options (under Section 421 of the Code) and options that do not qualify as incentive stock options, or nonstatutory stock options. The plan administrator will determine the exercise price of each option, provided that the price generally will be equal to at least 100% of the fair market value of the shares of common stock on the date on which the option is granted. Options granted under the Restated 2018 Plan vest at the rate specified by the plan administrator. Options may have a maximum term of up to 10 years from the date of grant, subject to earlier expiration following the cessation of a participant’s continuous service with us, as provided in the 2018 Plan and the specific award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Limitations On Incentive Stock Options</w:t>
      </w:r>
    </w:p>
    <w:p>
      <w:pPr>
        <w:spacing w:after="0" w:line="122"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The aggregate fair market value, determined at the time of grant, of our common stock with respect to incentive stock options that are exercisable for the first time by a participant during any calendar year under all of our stock plans may not exceed $100,000. We will generally treat options or portions thereof that exceed such limit as nonstatutory stock options. No incentive stock option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incentive stock option does not exceed five years from the date of grant.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Awards</w:t>
      </w:r>
    </w:p>
    <w:p>
      <w:pPr>
        <w:spacing w:after="0" w:line="122"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A restricted stock award is an award of shares of common stock that may, but need not, be subject to restrictions on transferability and other restrictions as the plan administrator determines in its sole discretion on the date of grant. The restrictions, if any, may lapse over a specified period of time or through the satisfaction of conditions, in installments or otherwise, as the plan administrator may determine. A participant who receives a restricted stock award will have all of the rights of a stockholder as to those shares, including the right to vote and the right to receive dividends or distributions on the shares, except that the board of directors may require any dividends to be reinvested in shares. During the period, if any, when stock awards are non-transferable or forfeitable, a participant is prohibited from selling, transferring, assigning, pledging or otherwise encumbering or disposing of his or her award shares. Except as otherwise provided in the applicable award agreement, restricted stock awards that have not vested may be forfeited or repurchased by us upon the participant’s cessation of continuous service for any reason.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Units</w:t>
      </w:r>
    </w:p>
    <w:p>
      <w:pPr>
        <w:spacing w:after="0" w:line="122"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Restricted stock units represent the participant’s right to receive a compensation amount, based on the value of our common stock, if the vesting criteria established by the plan administrator are met.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We may issue restricted stock unit awards that settle on vesting in cash, delivery of shares of common stock, a combination of cash and stock, as deemed appropriate by the plan administrator and provided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Appreciation Rights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Stock appreciation rights provide the participant with the right to receive, upon exercise of the stock appreciation right, cash, shares of common stock or a combination of cash and stock. The plan administrator determines the strike price for a stock appreciation right, which generally cannot be less than 100% of the fair market value of our common stock on the date of grant. Upon the exercise of a stock appreciation right, we will pay the participant an amount equal to the product of (1) the excess of the per share fair market value of our common stock on the date of exercise over the strike price, multiplied by (2) the number of shares of common stock with respect to which the stock appreciation right is exercised. A stock appreciation right granted under the Restated 2018 Plan vests at the rate specified in the stock appreciation right agreement as determined by the plan administrator. Stock appreciation rights may have a maximum term of up to 10 years, subject to earlier expiration following the cessation of a participant’s continuous service with us, as provided in the Restated 2018 Plan and the specific award agreement.</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Awards</w:t>
      </w:r>
    </w:p>
    <w:p>
      <w:pPr>
        <w:spacing w:after="0" w:line="122"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The Restated 2018 Plan permits the grant of awards that vest (or are eligible to vest) in whole or in part upon the achievement of certain pre-established performance goals during a designated performance period.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Equity-Based Awards</w:t>
      </w:r>
    </w:p>
    <w:p>
      <w:pPr>
        <w:spacing w:after="0" w:line="122"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The plan administrator may grant other types of equity-based awards under the Restated 2018 Plan. Other equity-based awards are payable in cash, shares of common stock or other equity, or a combination thereof, and may be restricted or unrestricted, as determined by the plan administrator. The terms and conditions that apply to other equity-based awards are determined by the plan administrator.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Transferability.</w:t>
      </w:r>
    </w:p>
    <w:p>
      <w:pPr>
        <w:spacing w:after="0" w:line="122"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A participant generally may not transfer awards granted under our Restated 2018 Plan other than by will, the laws of descent and distribution, or as otherwise provided under our Restated 2018 Plan.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to Capital Structure</w:t>
      </w:r>
    </w:p>
    <w:p>
      <w:pPr>
        <w:spacing w:after="0" w:line="122"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In the event that there is a specified type of change in our capital structure, such as a stock split or recapitalization, appropriate adjustments will be made to (1) the class and maximum number of shares reserved for issuance under the Restated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Corporate Transaction</w:t>
      </w:r>
    </w:p>
    <w:p>
      <w:pPr>
        <w:spacing w:after="0" w:line="122"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Our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5" w:lineRule="exact"/>
        <w:rPr>
          <w:sz w:val="20"/>
          <w:szCs w:val="20"/>
          <w:color w:val="auto"/>
        </w:rPr>
      </w:pPr>
    </w:p>
    <w:p>
      <w:pPr>
        <w:ind w:left="200" w:right="320" w:firstLine="551"/>
        <w:spacing w:after="0" w:line="238" w:lineRule="auto"/>
        <w:rPr>
          <w:sz w:val="20"/>
          <w:szCs w:val="20"/>
          <w:color w:val="auto"/>
        </w:rPr>
      </w:pPr>
      <w:r>
        <w:rPr>
          <w:rFonts w:ascii="Arial" w:cs="Arial" w:eastAsia="Arial" w:hAnsi="Arial"/>
          <w:sz w:val="18"/>
          <w:szCs w:val="18"/>
          <w:color w:val="auto"/>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Termination</w:t>
      </w:r>
    </w:p>
    <w:p>
      <w:pPr>
        <w:spacing w:after="0" w:line="122"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Our board of directors may amend or terminate the Restated 2018 Plan at any time; provided that no amendment may adversely impair the benefits of participants with outstanding awards without such participant’s consent. Our stockholders must approve any amendment if such approval is required under applicable law or listing requirements. No incentive stock options may be granted after the tenth anniversary of the date our board of directors adopted our Restated 2018 Plan.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w:t>
      </w:r>
    </w:p>
    <w:p>
      <w:pPr>
        <w:spacing w:after="0" w:line="122" w:lineRule="exact"/>
        <w:rPr>
          <w:sz w:val="20"/>
          <w:szCs w:val="20"/>
          <w:color w:val="auto"/>
        </w:rPr>
      </w:pPr>
    </w:p>
    <w:p>
      <w:pPr>
        <w:jc w:val="both"/>
        <w:ind w:left="200" w:right="380" w:firstLine="551"/>
        <w:spacing w:after="0"/>
        <w:rPr>
          <w:sz w:val="20"/>
          <w:szCs w:val="20"/>
          <w:color w:val="auto"/>
        </w:rPr>
      </w:pPr>
      <w:r>
        <w:rPr>
          <w:rFonts w:ascii="Arial" w:cs="Arial" w:eastAsia="Arial" w:hAnsi="Arial"/>
          <w:sz w:val="18"/>
          <w:szCs w:val="18"/>
          <w:color w:val="auto"/>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w:t>
      </w:r>
    </w:p>
    <w:p>
      <w:pPr>
        <w:spacing w:after="0" w:line="203"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their terms.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As of December 31, 2018, options to purchase a total of 7,215,059 shares of common stock at a weighted average exercise price of $4.58 were issued and outstanding under the 2008 Plan and a total of 5,256,824 shares of common stock (net of early exercised options repurchased) had been issued upon the exercise of options granted under the 2008 Plan.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w:t>
      </w:r>
    </w:p>
    <w:p>
      <w:pPr>
        <w:spacing w:after="0" w:line="122" w:lineRule="exact"/>
        <w:rPr>
          <w:sz w:val="20"/>
          <w:szCs w:val="20"/>
          <w:color w:val="auto"/>
        </w:rPr>
      </w:pPr>
    </w:p>
    <w:p>
      <w:pPr>
        <w:ind w:left="200" w:right="600" w:firstLine="551"/>
        <w:spacing w:after="0" w:line="246" w:lineRule="auto"/>
        <w:rPr>
          <w:sz w:val="20"/>
          <w:szCs w:val="20"/>
          <w:color w:val="auto"/>
        </w:rPr>
      </w:pPr>
      <w:r>
        <w:rPr>
          <w:rFonts w:ascii="Arial" w:cs="Arial" w:eastAsia="Arial" w:hAnsi="Arial"/>
          <w:sz w:val="18"/>
          <w:szCs w:val="18"/>
          <w:color w:val="auto"/>
        </w:rPr>
        <w:t>Our board of directors, or a duly authorized committee thereof, has the authority to administer the 2008 Plan. Our board has delegated concurrent authority to administer our 2008 Plan to the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compensation committee under the terms of the compensation committee’s charter. Among other powers, the plan administrator has the authority to modify outstanding awards under our 2008 Plan, and to reduce the exercise price of any outstanding award, cancel any outstanding award in exchange for a new award, cash or other consideration, or take any other action that is treated as a repricing under generally accepted accounting principles, in each case with the consent of any adversely affected participant.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Corporate Transaction</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5"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In March 2019, our board of directors adopted, and our stockholders approved, the 2019 Employee Stock Purchase Plan, or ESPP, which will become effective upon the completion of this offering.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Reserve</w:t>
      </w:r>
    </w:p>
    <w:p>
      <w:pPr>
        <w:spacing w:after="0" w:line="122" w:lineRule="exact"/>
        <w:rPr>
          <w:sz w:val="20"/>
          <w:szCs w:val="20"/>
          <w:color w:val="auto"/>
        </w:rPr>
      </w:pPr>
    </w:p>
    <w:p>
      <w:pPr>
        <w:ind w:left="200" w:right="80" w:firstLine="551"/>
        <w:spacing w:after="0" w:line="248" w:lineRule="auto"/>
        <w:rPr>
          <w:sz w:val="20"/>
          <w:szCs w:val="20"/>
          <w:color w:val="auto"/>
        </w:rPr>
      </w:pPr>
      <w:r>
        <w:rPr>
          <w:rFonts w:ascii="Arial" w:cs="Arial" w:eastAsia="Arial" w:hAnsi="Arial"/>
          <w:sz w:val="17"/>
          <w:szCs w:val="17"/>
          <w:color w:val="auto"/>
        </w:rPr>
        <w:t>Following this offering, the ESPP authorizes the issuance of 1,000,000 shares of our common stock pursuant to purchase rights granted to our employees or to employees of any of our designated affiliates. The number of shares of our common stock reserved for issuance will automatically increase on January 1 of each calendar year, from January 1, 2020 (assuming the ESPP becomes effective before such date) through January 1, 2029 by the least of (1) 1.0% of the total number of shares of our common stock outstanding on December 31 of the preceding calendar year, (2) 1,000,000 shares, or (3) a number determined by our board of directors that is less than</w:t>
      </w:r>
    </w:p>
    <w:p>
      <w:pPr>
        <w:spacing w:after="0" w:line="3" w:lineRule="exact"/>
        <w:rPr>
          <w:sz w:val="20"/>
          <w:szCs w:val="20"/>
          <w:color w:val="auto"/>
        </w:rPr>
      </w:pPr>
    </w:p>
    <w:p>
      <w:pPr>
        <w:ind w:left="200" w:right="160" w:firstLine="4"/>
        <w:spacing w:after="0" w:line="246" w:lineRule="auto"/>
        <w:tabs>
          <w:tab w:leader="none" w:pos="4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and (2). The ESPP is intended to qualify as an “employee stock purchase plan” within the meaning of Section 423 of the Code. As of the date hereof, no shares of our common stock have been purchased under the ESPP.</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w:t>
      </w:r>
    </w:p>
    <w:p>
      <w:pPr>
        <w:spacing w:after="0" w:line="12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Our board of directors, or a duly authorized committee thereof, has the authority to administer the ESPP. Our board of directors has delegated concurrent authority to administer the ESPP to our compensation committee. The ESPP is implemented through a series of offerings of purchase rights to eligible employees. Under the ESPP, we may specify offerings with durations of not more than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80"/>
          </w:cols>
          <w:pgMar w:left="240" w:top="460"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27 months, and may specify shorter purchase periods within each offering. Each offering will have one or more purchase dates on which shares of our common stock will be purchased for employees participating in the offering. An offering may be terminated under certain circumstances.</w:t>
      </w:r>
    </w:p>
    <w:p>
      <w:pPr>
        <w:spacing w:after="0" w:line="203" w:lineRule="exact"/>
        <w:rPr>
          <w:sz w:val="20"/>
          <w:szCs w:val="20"/>
          <w:color w:val="auto"/>
        </w:rPr>
      </w:pPr>
    </w:p>
    <w:p>
      <w:pPr>
        <w:jc w:val="both"/>
        <w:ind w:left="200" w:right="120" w:firstLine="551"/>
        <w:spacing w:after="0" w:line="239" w:lineRule="auto"/>
        <w:rPr>
          <w:sz w:val="20"/>
          <w:szCs w:val="20"/>
          <w:color w:val="auto"/>
        </w:rPr>
      </w:pPr>
      <w:r>
        <w:rPr>
          <w:rFonts w:ascii="Arial" w:cs="Arial" w:eastAsia="Arial" w:hAnsi="Arial"/>
          <w:sz w:val="18"/>
          <w:szCs w:val="18"/>
          <w:color w:val="auto"/>
        </w:rPr>
        <w:t>The ESPP is intended to qualify as an “employee stock purchase plan” within the meaning of Section 423 of the Code for our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Payroll Deductions</w:t>
      </w:r>
    </w:p>
    <w:p>
      <w:pPr>
        <w:spacing w:after="0" w:line="122"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Generally, all regular employees, including executive officers, employed by us or by any of our designated affiliates, may participate in the ESPP and may contribute, normally through payroll deductions, up to 15.0% of their earnings for the purchase of our common stock under the ESPP.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Limitations</w:t>
      </w:r>
    </w:p>
    <w:p>
      <w:pPr>
        <w:spacing w:after="0" w:line="12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Employees may have to satisfy one or more of the following service requirements before participating in the ESPP, as determined by our board of directors: (1) customarily employed for more than 20 hours per week, (2)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to Capital Structure</w:t>
      </w:r>
    </w:p>
    <w:p>
      <w:pPr>
        <w:spacing w:after="0" w:line="12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and (3) the number of shares and purchase price of all outstanding purchase rights.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Corporate Transactions</w:t>
      </w:r>
    </w:p>
    <w:p>
      <w:pPr>
        <w:spacing w:after="0" w:line="12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In the event of certain significant corporate transactions, including the consummation of: (1) a sale of all our assets, (2) the sale or disposition of 90% of our outstanding securities, (3) 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Amendments, Termination</w:t>
      </w:r>
    </w:p>
    <w:p>
      <w:pPr>
        <w:spacing w:after="0" w:line="122"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Our board of directors has the authority to amend or terminate our ESPP, provided that except in certain circumstances any such amendment or termination may not materially impair any outstanding purchase rights without the holder’s consent. We will obtain stockholder approval of any amendment to our ESPP as required by applicable law or listing requirements.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Non-Employee Director Compensation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Director Compensation</w:t>
      </w:r>
    </w:p>
    <w:p>
      <w:pPr>
        <w:spacing w:after="0" w:line="126"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In March 2019, our board of directors approved a non-employee director compensation policy, which will be effective for all non-employee directors upon the completion of this offering. Each non-employee director will receive an annual base retainer of $40,000. In addition, our non-employee directors will receive the following cash compensation for board services, as applicable:</w:t>
      </w:r>
    </w:p>
    <w:p>
      <w:pPr>
        <w:spacing w:after="0" w:line="108" w:lineRule="exact"/>
        <w:rPr>
          <w:sz w:val="20"/>
          <w:szCs w:val="20"/>
          <w:color w:val="auto"/>
        </w:rPr>
      </w:pPr>
    </w:p>
    <w:p>
      <w:pPr>
        <w:ind w:left="960" w:hanging="216"/>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lead independent director will receive an additional annual retainer of $25,000;</w:t>
      </w:r>
    </w:p>
    <w:p>
      <w:pPr>
        <w:spacing w:after="0" w:line="117"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member of our audit, compensation and nominating and corporate governance committees, other than the chairperson, will receive an additional annual retainer of $10,000, $6,000 and $5,000, respectively; and</w:t>
      </w:r>
    </w:p>
    <w:p>
      <w:pPr>
        <w:spacing w:after="0" w:line="102" w:lineRule="exact"/>
        <w:rPr>
          <w:rFonts w:ascii="Arial" w:cs="Arial" w:eastAsia="Arial" w:hAnsi="Arial"/>
          <w:sz w:val="18"/>
          <w:szCs w:val="18"/>
          <w:color w:val="auto"/>
        </w:rPr>
      </w:pPr>
    </w:p>
    <w:p>
      <w:pPr>
        <w:ind w:left="960" w:right="260" w:hanging="216"/>
        <w:spacing w:after="0" w:line="246"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chairperson of our audit, compensation and nominating and corporate governance committees will receive an additional annual retainer of $30,000, $15,000 and $5,000, respectively.</w:t>
      </w:r>
    </w:p>
    <w:p>
      <w:pPr>
        <w:spacing w:after="0" w:line="197"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We will pay all amounts in quarterly installments. We will also reimburse each of our directors for their travel expenses incurred in connection with their attendance at board of directors and committee meetings. In addition, newly appointed non-employee directors will receive a one-time initial award of options with a grant date fair value of $500,000, which will vest one-third after the first year, with the remaining shares vesting quarterly in years two and three following the grant date, such that the shares will be fully vested on the third anniversary of the date of grant, subject to the director’s continued service on the board of directors. Thereafter, each non-employee director will receive an annual award of options with a grant date fair value of $200,000, which will vest quarterly over one year from the grant date, such that the shares will be fully vested on the first anniversary of the date of grant, subject to the director’s continued service on the board of directors. In addition, in the event of a change in control of the company, the shares underlying such grants will vest and become exercisable immediately prior to the effectiveness of such change in control.</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26"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Other than Ms. Hooper, who received an annual retainer of $40,000 and an initial option grant of 25,000 shares, our non-employee directors did not receive any cash or equity compensation for their services as directors during 2018.</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Limitation of Liability and Indemnification Agreements</w:t>
      </w:r>
    </w:p>
    <w:p>
      <w:pPr>
        <w:spacing w:after="0" w:line="234" w:lineRule="exact"/>
        <w:rPr>
          <w:sz w:val="20"/>
          <w:szCs w:val="20"/>
          <w:color w:val="auto"/>
        </w:rPr>
      </w:pPr>
    </w:p>
    <w:p>
      <w:pPr>
        <w:ind w:left="200" w:right="520" w:firstLine="551"/>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provide that we will limit the liability of our</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80"/>
          </w:cols>
          <w:pgMar w:left="240" w:top="460"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20"/>
        <w:spacing w:after="0"/>
        <w:rPr>
          <w:sz w:val="20"/>
          <w:szCs w:val="20"/>
          <w:color w:val="auto"/>
        </w:rPr>
      </w:pPr>
      <w:r>
        <w:rPr>
          <w:rFonts w:ascii="Arial" w:cs="Arial" w:eastAsia="Arial" w:hAnsi="Arial"/>
          <w:sz w:val="18"/>
          <w:szCs w:val="18"/>
          <w:color w:val="auto"/>
        </w:rPr>
        <w:t>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108" w:lineRule="exact"/>
        <w:rPr>
          <w:sz w:val="20"/>
          <w:szCs w:val="20"/>
          <w:color w:val="auto"/>
        </w:rPr>
      </w:pPr>
    </w:p>
    <w:p>
      <w:pPr>
        <w:ind w:left="960" w:hanging="216"/>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breach of their duty of loyalty to the corporation or its stockholders;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transaction from which the directors derived an improper personal benefit.</w:t>
      </w:r>
    </w:p>
    <w:p>
      <w:pPr>
        <w:spacing w:after="0" w:line="212" w:lineRule="exact"/>
        <w:rPr>
          <w:sz w:val="20"/>
          <w:szCs w:val="20"/>
          <w:color w:val="auto"/>
        </w:rPr>
      </w:pPr>
    </w:p>
    <w:p>
      <w:pPr>
        <w:ind w:left="200" w:right="680" w:firstLine="551"/>
        <w:spacing w:after="0" w:line="246"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have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205" w:lineRule="exact"/>
        <w:rPr>
          <w:sz w:val="20"/>
          <w:szCs w:val="20"/>
          <w:color w:val="auto"/>
        </w:rPr>
      </w:pPr>
    </w:p>
    <w:p>
      <w:pPr>
        <w:jc w:val="both"/>
        <w:ind w:left="200" w:right="140" w:firstLine="551"/>
        <w:spacing w:after="0"/>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w:t>
      </w:r>
    </w:p>
    <w:p>
      <w:pPr>
        <w:spacing w:after="0" w:line="203"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4"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Other than compensation arrangements, we describe below transactions and series of similar transactions, since January 1, 2016, to which we were a party or will be a party, in which:</w:t>
      </w:r>
    </w:p>
    <w:p>
      <w:pPr>
        <w:spacing w:after="0" w:line="102" w:lineRule="exact"/>
        <w:rPr>
          <w:sz w:val="20"/>
          <w:szCs w:val="20"/>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common stock, or any member of the immediate family of the foregoing persons, had or will have a direct or indirect material interest.</w:t>
      </w:r>
    </w:p>
    <w:p>
      <w:pPr>
        <w:spacing w:after="0" w:line="197" w:lineRule="exact"/>
        <w:rPr>
          <w:sz w:val="20"/>
          <w:szCs w:val="20"/>
          <w:color w:val="auto"/>
        </w:rPr>
      </w:pPr>
    </w:p>
    <w:p>
      <w:pPr>
        <w:ind w:left="200" w:right="200" w:firstLine="551"/>
        <w:spacing w:after="0" w:line="257" w:lineRule="auto"/>
        <w:rPr>
          <w:sz w:val="20"/>
          <w:szCs w:val="20"/>
          <w:color w:val="auto"/>
        </w:rPr>
      </w:pPr>
      <w:r>
        <w:rPr>
          <w:rFonts w:ascii="Arial" w:cs="Arial" w:eastAsia="Arial" w:hAnsi="Arial"/>
          <w:sz w:val="17"/>
          <w:szCs w:val="17"/>
          <w:color w:val="auto"/>
        </w:rPr>
        <w:t>We have entered into various employment-related agreements and compensatory arrangements with our directors and executive officers that, among other things, provide for compensatory and certain severance and change in control benefits. For a description of these agreements and arrangements, see the sections titled “Executive and Director Compensation—Agreements with our Named Executive Officers” and “Executive and Director Compensation—Potential Payments upon Termination or Change of Control.”</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Merck Collaboration</w:t>
      </w:r>
    </w:p>
    <w:p>
      <w:pPr>
        <w:spacing w:after="0" w:line="234" w:lineRule="exact"/>
        <w:rPr>
          <w:sz w:val="20"/>
          <w:szCs w:val="20"/>
          <w:color w:val="auto"/>
        </w:rPr>
      </w:pPr>
    </w:p>
    <w:p>
      <w:pPr>
        <w:jc w:val="both"/>
        <w:ind w:left="200" w:right="100" w:firstLine="551"/>
        <w:spacing w:after="0"/>
        <w:rPr>
          <w:sz w:val="20"/>
          <w:szCs w:val="20"/>
          <w:color w:val="auto"/>
        </w:rPr>
      </w:pPr>
      <w:r>
        <w:rPr>
          <w:rFonts w:ascii="Arial" w:cs="Arial" w:eastAsia="Arial" w:hAnsi="Arial"/>
          <w:sz w:val="18"/>
          <w:szCs w:val="18"/>
          <w:color w:val="auto"/>
        </w:rPr>
        <w:t>In 2015, we entered into a research collaboration, product development and license agreement with Merck, pursuant to which we subsequently licensed our NGM313 program to Merck. In March 2019, Merck exercised its option to extend this collaboration from March 2020 through March 2022. For a detailed description of this agreement, see the section titled “Business—Our Collaboration with Merck.”</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Concurrent Private Placement</w:t>
      </w:r>
    </w:p>
    <w:p>
      <w:pPr>
        <w:spacing w:after="0" w:line="234"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Merck, a strategic collaborator and existing stockholder, has agreed to purchase 4,121,683 shares of our common stock in a separate private placement concurrent with the completion of this offering at a price of $16.00 per share. This will result in Merck owning approximately 19.9% of our outstanding shares of common stock following the completion of this offering. The sale of such shares will not be registered under the Securities Act of 1933, as amended. The completion of this offering is not contingent upon the completion of such concurrent private placement.</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34"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We have entered into an amended and restated investor rights agreement with certain holders of our convertible preferred stock, including entities with which certain of our directors are affiliated. This agreement provides that the holders of common stock issuable upon conversion of our convertible preferred stock have the right to demand that we file a registration statement or request that their shares of common stock be covered by a registration statement that we are otherwise filing. With respect to this offering, the registration rights have been validly waived. In addition to registration rights, the amended and restated investor rights agreement provides for certain information rights and a right of first offer. The provisions of the amended and restated investors’ rights agreement, other than those related to registration rights, will terminate upon the completion of this offering. For a detailed description of registration rights under this agreement, see “Description of Capital Stock—Registration Rights.”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Voting Agreement</w:t>
      </w:r>
    </w:p>
    <w:p>
      <w:pPr>
        <w:spacing w:after="0" w:line="23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have entered into an amended and restated voting agreement under which certain holders of our capital stock, including certain holders of 5% of our capital stock and entities affiliated with certain of our directors, have agreed to vote in a certain way on certain matters, including with respect to the election of directors. All of our current directors were elected pursuant to the terms of this agreement. The amended and restated voting agreement will terminate upon the completion of this offering.</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34"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We have entered into an amended and restated right of first refusal and co-sale agreement with our founder, our chief executive officer and the holders of our convertible preferred stock, including certain holders of 5% of our capital stock and entities affiliated with certain of our directors, pursuant to which the holders of convertible preferred stock have a right of first refusal and co-sale in respect of certain sales of securities by our founder and our chief executive officer. Upon the completion of this offering, the right of first refusal and co-sale agreement will terminate.</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Transactions</w:t>
      </w:r>
    </w:p>
    <w:p>
      <w:pPr>
        <w:spacing w:after="0" w:line="234"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In May 2016, entities affiliated with The Column Group and Tichenor Ventures, LLC purchased a total of 314,940 shares of our common stock at a price of $7.64 per share from a total of six employees, including 205,317 shares purchased from Dr. Chen.</w:t>
      </w:r>
    </w:p>
    <w:p>
      <w:pPr>
        <w:spacing w:after="0" w:line="197" w:lineRule="exact"/>
        <w:rPr>
          <w:sz w:val="20"/>
          <w:szCs w:val="20"/>
          <w:color w:val="auto"/>
        </w:rPr>
      </w:pPr>
    </w:p>
    <w:p>
      <w:pPr>
        <w:ind w:left="200" w:right="540" w:firstLine="551"/>
        <w:spacing w:after="0" w:line="246" w:lineRule="auto"/>
        <w:rPr>
          <w:sz w:val="20"/>
          <w:szCs w:val="20"/>
          <w:color w:val="auto"/>
        </w:rPr>
      </w:pPr>
      <w:r>
        <w:rPr>
          <w:rFonts w:ascii="Arial" w:cs="Arial" w:eastAsia="Arial" w:hAnsi="Arial"/>
          <w:sz w:val="18"/>
          <w:szCs w:val="18"/>
          <w:color w:val="auto"/>
        </w:rPr>
        <w:t>In November 2016, entities affiliated with The Column Group purchased a total of 200,000 shares of our Series D convertible preferred stock at a price of $12.00 per share from one stockholder.</w:t>
      </w:r>
    </w:p>
    <w:p>
      <w:pPr>
        <w:spacing w:after="0" w:line="197" w:lineRule="exact"/>
        <w:rPr>
          <w:sz w:val="20"/>
          <w:szCs w:val="20"/>
          <w:color w:val="auto"/>
        </w:rPr>
      </w:pPr>
    </w:p>
    <w:p>
      <w:pPr>
        <w:ind w:left="200" w:right="380" w:firstLine="551"/>
        <w:spacing w:after="0" w:line="246" w:lineRule="auto"/>
        <w:rPr>
          <w:sz w:val="20"/>
          <w:szCs w:val="20"/>
          <w:color w:val="auto"/>
        </w:rPr>
      </w:pPr>
      <w:r>
        <w:rPr>
          <w:rFonts w:ascii="Arial" w:cs="Arial" w:eastAsia="Arial" w:hAnsi="Arial"/>
          <w:sz w:val="18"/>
          <w:szCs w:val="18"/>
          <w:color w:val="auto"/>
        </w:rPr>
        <w:t>In December 2016, entities affiliated with The Column Group purchased a total of 110,000 shares of our Series B and Series C convertible preferred stock at a price of $12.00 per share from a total of eight stockholders.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left="200" w:right="260" w:firstLine="551"/>
        <w:spacing w:after="0" w:line="246" w:lineRule="auto"/>
        <w:rPr>
          <w:sz w:val="20"/>
          <w:szCs w:val="20"/>
          <w:color w:val="auto"/>
        </w:rPr>
      </w:pPr>
      <w:r>
        <w:rPr>
          <w:rFonts w:ascii="Arial" w:cs="Arial" w:eastAsia="Arial" w:hAnsi="Arial"/>
          <w:sz w:val="18"/>
          <w:szCs w:val="18"/>
          <w:color w:val="auto"/>
        </w:rPr>
        <w:t>We have entered into indemnification agreements with each of our current directors and officers. For more information regarding these agreement, see “Executive and Director Compensation—Limitation of Liability and Indemnification Agreements.”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Policies and Procedures Regarding Transactions with Related Persons</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intend to adopt a related person transaction policy that will be in effect upon completion of this offering. Pursuant to the related person transaction policy, all proposed related person transactions must be approved by either (i) our audit committee (or any other committee of our board of directors consisting of independent directors), or (ii) our full board of directors. This review will cover any transaction, arrangement or relationship, or any series of similar transactions, arrangements or relationships, in which we were or are to be a participant, the amount involved exceeds $120,000, and a related person had or will have a direct or indirect material interest, including purchases of goods or services by or from a related person or entities in which the related person has a material interest, and indebtedness, guarantees of indebtedness and employment by us of a related person. A “related person” is any person who is or was one of our executive officers, directors or director nominees or is a holder of more than 5% of our common stock, or their immediate family members or any entity owned or controlled by any of the foregoing persons.</w:t>
      </w:r>
    </w:p>
    <w:p>
      <w:pPr>
        <w:spacing w:after="0" w:line="207"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All of the transactions described above were entered into prior to the adoption of this policy and were approved by our board of directors.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sets forth information regarding the beneficial ownership of our capital stock as of March 20, 2019 by:</w:t>
      </w:r>
    </w:p>
    <w:p>
      <w:pPr>
        <w:spacing w:after="0" w:line="117" w:lineRule="exact"/>
        <w:rPr>
          <w:sz w:val="20"/>
          <w:szCs w:val="20"/>
          <w:color w:val="auto"/>
        </w:rPr>
      </w:pPr>
    </w:p>
    <w:p>
      <w:pPr>
        <w:ind w:left="960" w:hanging="216"/>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any class of our voting securities.</w:t>
      </w:r>
    </w:p>
    <w:p>
      <w:pPr>
        <w:spacing w:after="0" w:line="21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have based our calculation of beneficial ownership prior to this offering and concurrent private placement to Merck on 54,310,541 shares of common stock outstanding as of March 20, 2019, which includes 47,283,839 shares of our common stock resulting from the conversion of all outstanding shares of our convertible preferred stock into our common stock immediately prior to the completion of this offering and concurrent private placement to Merck, as if this conversion had occurred as of March 20, 2019. We have based our calculation of beneficial ownership after this offering and concurrent private placement to Merck on 65,098,891 shares of our common stock outstanding immediately following the completion of this offering and the concurrent private placement to Merck. Ownership information assumes no exercise of the underwriters’ option to purchase additional shares.</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Entities affiliated with The Column Group, an existing stockholder, have agreed to purchase 1,875,000 shares of our common stock in this offering at the initial public offering price. The information set forth in the table below reflects the purchase of all of these shares in this offering by such entities, with such entities purchasing number of shares indicated in the footnotes to the table. The underwriters will receive the same underwriting discount on any shares purchased by these entities as they will on any other shares sold to the public in this offering.</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80"/>
          </w:cols>
          <w:pgMar w:left="240" w:top="460"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March 20, 2019. Options to purchase shares of our common stock that are exercisable within 60 days of March 20, 2019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and upon completion of this offering will have, to our knowledge, sole voting and investment power with respect to all shares of common stock listed as beneficially owned by him or her, subject to community property laws where applicable. Unless otherwise indicated, the address for each of the stockholders in the table below is c/o NGM Biopharmaceuticals, Inc., 333 Oyster Point Blvd., South San Francisco, California 94080.</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top w:val="single" w:sz="8" w:color="auto"/>
            </w:tcBorders>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Before</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offering</w:t>
            </w:r>
          </w:p>
        </w:tc>
        <w:tc>
          <w:tcPr>
            <w:tcW w:w="2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62"/>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c>
          <w:tcPr>
            <w:tcW w:w="5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private</w:t>
            </w:r>
          </w:p>
        </w:tc>
        <w:tc>
          <w:tcPr>
            <w:tcW w:w="2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private</w:t>
            </w:r>
          </w:p>
        </w:tc>
        <w:tc>
          <w:tcPr>
            <w:tcW w:w="0" w:type="dxa"/>
            <w:vAlign w:val="bottom"/>
          </w:tcPr>
          <w:p>
            <w:pPr>
              <w:spacing w:after="0"/>
              <w:rPr>
                <w:sz w:val="1"/>
                <w:szCs w:val="1"/>
                <w:color w:val="auto"/>
              </w:rPr>
            </w:pPr>
          </w:p>
        </w:tc>
      </w:tr>
      <w:tr>
        <w:trPr>
          <w:trHeight w:val="162"/>
        </w:trPr>
        <w:tc>
          <w:tcPr>
            <w:tcW w:w="720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1660" w:type="dxa"/>
            <w:vAlign w:val="bottom"/>
            <w:gridSpan w:val="3"/>
          </w:tcPr>
          <w:p>
            <w:pPr>
              <w:jc w:val="center"/>
              <w:ind w:left="11"/>
              <w:spacing w:after="0"/>
              <w:rPr>
                <w:sz w:val="20"/>
                <w:szCs w:val="20"/>
                <w:color w:val="auto"/>
              </w:rPr>
            </w:pPr>
            <w:r>
              <w:rPr>
                <w:rFonts w:ascii="Arial" w:cs="Arial" w:eastAsia="Arial" w:hAnsi="Arial"/>
                <w:sz w:val="14"/>
                <w:szCs w:val="14"/>
                <w:b w:val="1"/>
                <w:bCs w:val="1"/>
                <w:color w:val="auto"/>
              </w:rPr>
              <w:t>placement</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placement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5% and Greater Stockholders: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Entities affiliated with The Column Group(1)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13,569,091</w:t>
            </w:r>
          </w:p>
        </w:tc>
        <w:tc>
          <w:tcPr>
            <w:tcW w:w="16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25.0%</w:t>
            </w: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Merck Sharp &amp; Dohme Corp.(2)</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8,833,333</w:t>
            </w:r>
          </w:p>
        </w:tc>
        <w:tc>
          <w:tcPr>
            <w:tcW w:w="16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16.3%</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Prospect Ventures Partners III, L.P.(3)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4,925,000</w:t>
            </w:r>
          </w:p>
        </w:tc>
        <w:tc>
          <w:tcPr>
            <w:tcW w:w="16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9.1%</w:t>
            </w: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Topspin Fund L.P.(4)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4,833,334</w:t>
            </w:r>
          </w:p>
        </w:tc>
        <w:tc>
          <w:tcPr>
            <w:tcW w:w="16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Entities affiliated with Rho Ventures(5)</w:t>
            </w:r>
          </w:p>
        </w:tc>
        <w:tc>
          <w:tcPr>
            <w:tcW w:w="960" w:type="dxa"/>
            <w:vAlign w:val="bottom"/>
          </w:tcPr>
          <w:p>
            <w:pPr>
              <w:jc w:val="right"/>
              <w:spacing w:after="0"/>
              <w:rPr>
                <w:sz w:val="20"/>
                <w:szCs w:val="20"/>
                <w:color w:val="auto"/>
              </w:rPr>
            </w:pPr>
            <w:r>
              <w:rPr>
                <w:rFonts w:ascii="Arial" w:cs="Arial" w:eastAsia="Arial" w:hAnsi="Arial"/>
                <w:sz w:val="18"/>
                <w:szCs w:val="18"/>
                <w:color w:val="auto"/>
              </w:rPr>
              <w:t>3,766,667</w:t>
            </w:r>
          </w:p>
        </w:tc>
        <w:tc>
          <w:tcPr>
            <w:tcW w:w="1660" w:type="dxa"/>
            <w:vAlign w:val="bottom"/>
            <w:gridSpan w:val="3"/>
          </w:tcPr>
          <w:p>
            <w:pPr>
              <w:jc w:val="right"/>
              <w:ind w:right="260"/>
              <w:spacing w:after="0"/>
              <w:rPr>
                <w:sz w:val="20"/>
                <w:szCs w:val="20"/>
                <w:color w:val="auto"/>
              </w:rPr>
            </w:pPr>
            <w:r>
              <w:rPr>
                <w:rFonts w:ascii="Arial" w:cs="Arial" w:eastAsia="Arial" w:hAnsi="Arial"/>
                <w:sz w:val="18"/>
                <w:szCs w:val="18"/>
                <w:color w:val="auto"/>
              </w:rPr>
              <w:t>6.9%</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William J. Rieflin(6)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3,044,168</w:t>
            </w:r>
          </w:p>
        </w:tc>
        <w:tc>
          <w:tcPr>
            <w:tcW w:w="16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5.6%</w:t>
            </w: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Jin-Long Chen, Ph.D.(7)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2,968,943</w:t>
            </w:r>
          </w:p>
        </w:tc>
        <w:tc>
          <w:tcPr>
            <w:tcW w:w="16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Aetna Wun Trombley Ph.D.(8)</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1,007,500</w:t>
            </w:r>
          </w:p>
        </w:tc>
        <w:tc>
          <w:tcPr>
            <w:tcW w:w="16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1.9%</w:t>
            </w: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David J. Woodhouse, Ph.D.(9)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1,212,500</w:t>
            </w:r>
          </w:p>
        </w:tc>
        <w:tc>
          <w:tcPr>
            <w:tcW w:w="16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David V. Goeddel, Ph.D.(10)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13,759,091</w:t>
            </w:r>
          </w:p>
        </w:tc>
        <w:tc>
          <w:tcPr>
            <w:tcW w:w="16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25.3%</w:t>
            </w: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Suzanne Sawochka Hooper(11)</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Mark Leschly(12)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3,766,667</w:t>
            </w:r>
          </w:p>
        </w:tc>
        <w:tc>
          <w:tcPr>
            <w:tcW w:w="16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6.9%</w:t>
            </w: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David Schnell, M.D.(13)</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4,925,000</w:t>
            </w:r>
          </w:p>
        </w:tc>
        <w:tc>
          <w:tcPr>
            <w:tcW w:w="16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9.1%</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Peter Svennilson(14)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13,569,091</w:t>
            </w:r>
          </w:p>
        </w:tc>
        <w:tc>
          <w:tcPr>
            <w:tcW w:w="16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25.0%</w:t>
            </w: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McHenry T. Tichenor, Jr.(15)</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1,872,315</w:t>
            </w:r>
          </w:p>
        </w:tc>
        <w:tc>
          <w:tcPr>
            <w:tcW w:w="16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w:t>
            </w: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All executive officers and directors as a group (10 persons)(16)</w:t>
            </w:r>
          </w:p>
        </w:tc>
        <w:tc>
          <w:tcPr>
            <w:tcW w:w="960" w:type="dxa"/>
            <w:vAlign w:val="bottom"/>
          </w:tcPr>
          <w:p>
            <w:pPr>
              <w:jc w:val="right"/>
              <w:spacing w:after="0"/>
              <w:rPr>
                <w:sz w:val="20"/>
                <w:szCs w:val="20"/>
                <w:color w:val="auto"/>
              </w:rPr>
            </w:pPr>
            <w:r>
              <w:rPr>
                <w:rFonts w:ascii="Arial" w:cs="Arial" w:eastAsia="Arial" w:hAnsi="Arial"/>
                <w:sz w:val="18"/>
                <w:szCs w:val="18"/>
                <w:color w:val="auto"/>
              </w:rPr>
              <w:t>32,581,184</w:t>
            </w:r>
          </w:p>
        </w:tc>
        <w:tc>
          <w:tcPr>
            <w:tcW w:w="1660" w:type="dxa"/>
            <w:vAlign w:val="bottom"/>
            <w:gridSpan w:val="3"/>
          </w:tcPr>
          <w:p>
            <w:pPr>
              <w:jc w:val="right"/>
              <w:ind w:right="260"/>
              <w:spacing w:after="0"/>
              <w:rPr>
                <w:sz w:val="20"/>
                <w:szCs w:val="20"/>
                <w:color w:val="auto"/>
              </w:rPr>
            </w:pPr>
            <w:r>
              <w:rPr>
                <w:rFonts w:ascii="Arial" w:cs="Arial" w:eastAsia="Arial" w:hAnsi="Arial"/>
                <w:sz w:val="18"/>
                <w:szCs w:val="18"/>
                <w:color w:val="auto"/>
              </w:rPr>
              <w:t>55.3%</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4" w:lineRule="exact"/>
        <w:rPr>
          <w:sz w:val="20"/>
          <w:szCs w:val="20"/>
          <w:color w:val="auto"/>
        </w:rPr>
      </w:pPr>
    </w:p>
    <w:p>
      <w:pPr>
        <w:ind w:left="740" w:right="120" w:hanging="536"/>
        <w:spacing w:after="0" w:line="234"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11,103,333 shares held of record by The Column Group, LP, (ii) 2,265,758 shares held of record by The Column Group II, LP, (iii) 100,000 shares held of record by The Column Group GP, LP and (iv) 100,000 shares held of record by The Column Group Management, LP. Mr. Svennilson and Dr. Goeddel are managing partners of The Column Group GP, LP, The Column Group II GP, LP and Ponoi Capital, GP, LP, which are the general partners of The Column Group, LP and The Column Group II, LP, respectively, and share voting and investment power with respect to such shares. Mr. Svennilson and Dr. Goeddel disclaim beneficial ownership over such shares except to the extent of any pecuniary interest therein. The principal address of The Column Group, LP is 1700 Owens Street, Suite 500, San Francisco, California 94158. In addition, the percentage of shares beneficially owned after the offering reflects that entities affiliated with The Column Group have purchased 1,875,000 shares of our common stock in this offering at the initial public offering price.</w:t>
      </w:r>
    </w:p>
    <w:p>
      <w:pPr>
        <w:spacing w:after="0" w:line="6" w:lineRule="exact"/>
        <w:rPr>
          <w:rFonts w:ascii="Arial" w:cs="Arial" w:eastAsia="Arial" w:hAnsi="Arial"/>
          <w:sz w:val="18"/>
          <w:szCs w:val="18"/>
          <w:color w:val="auto"/>
        </w:rPr>
      </w:pPr>
    </w:p>
    <w:p>
      <w:pPr>
        <w:ind w:left="740" w:right="220" w:hanging="536"/>
        <w:spacing w:after="0" w:line="246"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Merck has agreed to vote its shares in favor of our nominees to the board of directors, increases in the authorized capital stock of the company and amendments to our equity plans approved by</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40"/>
        <w:spacing w:after="0" w:line="234" w:lineRule="auto"/>
        <w:rPr>
          <w:sz w:val="20"/>
          <w:szCs w:val="20"/>
          <w:color w:val="auto"/>
        </w:rPr>
      </w:pPr>
      <w:r>
        <w:rPr>
          <w:rFonts w:ascii="Arial" w:cs="Arial" w:eastAsia="Arial" w:hAnsi="Arial"/>
          <w:sz w:val="18"/>
          <w:szCs w:val="18"/>
          <w:color w:val="auto"/>
        </w:rPr>
        <w:t>our board of directors, in each case as recommended by the chairman our board of directors. Merck has also agreed, subject to specified exceptions, and during the period of our five-year initial research phase, not to sell any of its shares of our capital stock. The principal address of Merck is One Merck Drive, Whitehouse Station, New Jersey 08889. In addition, the percentage of shares beneficially owned after this offering includes 4,121,683 shares of our common stock that Merck will purchase, in a separate private placement concurrent with the completion of this offering.</w:t>
      </w:r>
    </w:p>
    <w:p>
      <w:pPr>
        <w:spacing w:after="0" w:line="4" w:lineRule="exact"/>
        <w:rPr>
          <w:sz w:val="20"/>
          <w:szCs w:val="20"/>
          <w:color w:val="auto"/>
        </w:rPr>
      </w:pPr>
    </w:p>
    <w:p>
      <w:pPr>
        <w:ind w:left="740" w:right="100" w:hanging="536"/>
        <w:spacing w:after="0" w:line="234" w:lineRule="auto"/>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members of its general partner, Prospect Management Co. III, L.L.C.: Dr. Schnell and Dr. Russell Hirsch. Drs. Schnell and Hirsch disclaim beneficial ownership over such shares except to the extent of any pecuniary interest therein. The principal address of Prospect Venture Partners III L.P. is 525 University Avenue, Suite 1350, Palo Alto, California 94301.</w:t>
      </w:r>
    </w:p>
    <w:p>
      <w:pPr>
        <w:spacing w:after="0" w:line="3" w:lineRule="exact"/>
        <w:rPr>
          <w:rFonts w:ascii="Arial" w:cs="Arial" w:eastAsia="Arial" w:hAnsi="Arial"/>
          <w:sz w:val="18"/>
          <w:szCs w:val="18"/>
          <w:color w:val="auto"/>
        </w:rPr>
      </w:pPr>
    </w:p>
    <w:p>
      <w:pPr>
        <w:ind w:left="740" w:right="200" w:hanging="536"/>
        <w:spacing w:after="0" w:line="234" w:lineRule="auto"/>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partners of Topspin Fund L.P.: Leo Guthart and Steven Winick. Messrs. Gyenes, Guthart, Simons and Winick disclaim beneficial ownership over such shares except to the extent of any pecuniary interest therein. The principal address of Topspin Fund L.P. is Three Expressway Plaza, #200, Roslyn Heights, New York, New York 11577.</w:t>
      </w:r>
    </w:p>
    <w:p>
      <w:pPr>
        <w:spacing w:after="0" w:line="3" w:lineRule="exact"/>
        <w:rPr>
          <w:rFonts w:ascii="Arial" w:cs="Arial" w:eastAsia="Arial" w:hAnsi="Arial"/>
          <w:sz w:val="18"/>
          <w:szCs w:val="18"/>
          <w:color w:val="auto"/>
        </w:rPr>
      </w:pPr>
    </w:p>
    <w:p>
      <w:pPr>
        <w:ind w:left="740" w:right="40" w:hanging="536"/>
        <w:spacing w:after="0" w:line="234" w:lineRule="auto"/>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(a) 3,462,649 shares held of record by Rho Ventures V, L.P. and (b) 304,019 shares held of record by Rho Ventures V Affiliates L.L.C. The voting and investment power with respect to the shares held by Rho Ventures V, L.P. and Rho Ventures V Affiliates L.L.C. is shared by the following members of Rho Capital Partners LLC, which is the managing member of RMV V, L.L.C., which is the general partner of Rho Ventures V, L.P. and the managing member of Rho Ventures V Affiliates L.L.C.: Habib Kairouz, Mark Leschly and Joshua Ruch. Messrs. Kairouz, Leschly and Ruch disclaim beneficial ownership over such shares except to the extent of any pecuniary interest therein. The address for the funds affiliated with Rho Ventures is Carnegie Hall Tower, 152 West 57th Street, 23rd Floor, New York, New York 10019.</w:t>
      </w:r>
    </w:p>
    <w:p>
      <w:pPr>
        <w:spacing w:after="0" w:line="5"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2,769,168 shares held in trust for which Mr. Rieflin serves as trustee and shares voting and investment control and</w:t>
      </w:r>
    </w:p>
    <w:p>
      <w:pPr>
        <w:ind w:left="740" w:right="300" w:firstLine="4"/>
        <w:spacing w:after="0" w:line="234" w:lineRule="auto"/>
        <w:tabs>
          <w:tab w:leader="none" w:pos="9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275,000 shares pursuant to options exercisable within 60 days of March 20, 2019, of which 67,708 shares have vested as of March 20, 2019.</w:t>
      </w:r>
    </w:p>
    <w:p>
      <w:pPr>
        <w:spacing w:after="0" w:line="1"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906,443 shares, (ii) 225,000 shares held in trusts for which Dr. Chen shares voting and investment control and</w:t>
      </w:r>
    </w:p>
    <w:p>
      <w:pPr>
        <w:ind w:left="740" w:right="60" w:firstLine="4"/>
        <w:spacing w:after="0" w:line="234" w:lineRule="auto"/>
        <w:tabs>
          <w:tab w:leader="none" w:pos="1030" w:val="left"/>
        </w:tabs>
        <w:numPr>
          <w:ilvl w:val="1"/>
          <w:numId w:val="85"/>
        </w:numPr>
        <w:rPr>
          <w:rFonts w:ascii="Arial" w:cs="Arial" w:eastAsia="Arial" w:hAnsi="Arial"/>
          <w:sz w:val="18"/>
          <w:szCs w:val="18"/>
          <w:color w:val="auto"/>
        </w:rPr>
      </w:pPr>
      <w:r>
        <w:rPr>
          <w:rFonts w:ascii="Arial" w:cs="Arial" w:eastAsia="Arial" w:hAnsi="Arial"/>
          <w:sz w:val="18"/>
          <w:szCs w:val="18"/>
          <w:color w:val="auto"/>
        </w:rPr>
        <w:t>1,837,500 shares pursuant to options exercisable within 60 days of March 20, 2019, of which 1,378,125 shares have vested as of March 20, 2019.</w:t>
      </w:r>
    </w:p>
    <w:p>
      <w:pPr>
        <w:spacing w:after="0" w:line="1" w:lineRule="exact"/>
        <w:rPr>
          <w:rFonts w:ascii="Arial" w:cs="Arial" w:eastAsia="Arial" w:hAnsi="Arial"/>
          <w:sz w:val="18"/>
          <w:szCs w:val="18"/>
          <w:color w:val="auto"/>
        </w:rPr>
      </w:pPr>
    </w:p>
    <w:p>
      <w:pPr>
        <w:ind w:left="740" w:right="380" w:hanging="536"/>
        <w:spacing w:after="0" w:line="234"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1,007,500 shares pursuant to options exercisable within 60 days of March 20, 2019, of which 530,103 shares have vested as of March 20, 2019.</w:t>
      </w:r>
    </w:p>
    <w:p>
      <w:pPr>
        <w:spacing w:after="0" w:line="1" w:lineRule="exact"/>
        <w:rPr>
          <w:rFonts w:ascii="Arial" w:cs="Arial" w:eastAsia="Arial" w:hAnsi="Arial"/>
          <w:sz w:val="18"/>
          <w:szCs w:val="18"/>
          <w:color w:val="auto"/>
        </w:rPr>
      </w:pPr>
    </w:p>
    <w:p>
      <w:pPr>
        <w:ind w:left="740" w:hanging="536"/>
        <w:spacing w:after="0"/>
        <w:tabs>
          <w:tab w:leader="none" w:pos="7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(i) 80,000 shares held in trust for which Dr. Woodhouse serves as trustee and shares voting and investment control and</w:t>
      </w:r>
    </w:p>
    <w:p>
      <w:pPr>
        <w:spacing w:after="0" w:line="7" w:lineRule="exact"/>
        <w:rPr>
          <w:rFonts w:ascii="Arial" w:cs="Arial" w:eastAsia="Arial" w:hAnsi="Arial"/>
          <w:sz w:val="17"/>
          <w:szCs w:val="17"/>
          <w:color w:val="auto"/>
        </w:rPr>
      </w:pPr>
    </w:p>
    <w:p>
      <w:pPr>
        <w:ind w:left="740" w:right="40" w:firstLine="4"/>
        <w:spacing w:after="0" w:line="234" w:lineRule="auto"/>
        <w:tabs>
          <w:tab w:leader="none" w:pos="9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1,132,500 shares pursuant to options exercisable within 60 days of March 20, 2019, of which 434,062 shares have vested as of March 20, 2019.</w:t>
      </w:r>
    </w:p>
    <w:p>
      <w:pPr>
        <w:spacing w:after="0" w:line="1" w:lineRule="exact"/>
        <w:rPr>
          <w:rFonts w:ascii="Arial" w:cs="Arial" w:eastAsia="Arial" w:hAnsi="Arial"/>
          <w:sz w:val="18"/>
          <w:szCs w:val="18"/>
          <w:color w:val="auto"/>
        </w:rPr>
      </w:pPr>
    </w:p>
    <w:p>
      <w:pPr>
        <w:ind w:left="740" w:right="420" w:hanging="536"/>
        <w:spacing w:after="0" w:line="234"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(i) 190,000 shares held in trust for which David V. Goeddel and Alena Z. Goeddel serve as co-trustees, and (ii) the shares described in footnote (1) above.</w:t>
      </w:r>
    </w:p>
    <w:p>
      <w:pPr>
        <w:spacing w:after="0" w:line="1" w:lineRule="exact"/>
        <w:rPr>
          <w:rFonts w:ascii="Arial" w:cs="Arial" w:eastAsia="Arial" w:hAnsi="Arial"/>
          <w:sz w:val="18"/>
          <w:szCs w:val="18"/>
          <w:color w:val="auto"/>
        </w:rPr>
      </w:pPr>
    </w:p>
    <w:p>
      <w:pPr>
        <w:ind w:left="740" w:right="60" w:hanging="536"/>
        <w:spacing w:after="0" w:line="234"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25,000 shares pursuant to options exercisable within 60 days of March 20, 2019, of which no shares have vested as of March 20, 2019.</w:t>
      </w:r>
    </w:p>
    <w:p>
      <w:pPr>
        <w:spacing w:after="0" w:line="1"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the shares described in footnote (5) above.</w:t>
      </w:r>
    </w:p>
    <w:p>
      <w:pPr>
        <w:ind w:left="740" w:hanging="536"/>
        <w:spacing w:after="0" w:line="234"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the shares described in footnote (3) above.</w:t>
      </w:r>
    </w:p>
    <w:p>
      <w:pPr>
        <w:ind w:left="740" w:hanging="536"/>
        <w:spacing w:after="0" w:line="234"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the shares described in footnote (1) above.</w:t>
      </w:r>
    </w:p>
    <w:p>
      <w:pPr>
        <w:ind w:left="740" w:right="140" w:hanging="536"/>
        <w:spacing w:after="0" w:line="234"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1,872,315 shares held of record by Tichenor Ventures, LLC. Mr. Tichenor is the president and managing partner of Tichenor Ventures, LLC and has sole voting and investment power with respect to such shares. The principal address of Tichenor Ventures, LLC is 100 Crescent Court, Suite 700, Dallas, Texas 75201.</w:t>
      </w:r>
    </w:p>
    <w:p>
      <w:pPr>
        <w:spacing w:after="0" w:line="2" w:lineRule="exact"/>
        <w:rPr>
          <w:rFonts w:ascii="Arial" w:cs="Arial" w:eastAsia="Arial" w:hAnsi="Arial"/>
          <w:sz w:val="18"/>
          <w:szCs w:val="18"/>
          <w:color w:val="auto"/>
        </w:rPr>
      </w:pPr>
    </w:p>
    <w:p>
      <w:pPr>
        <w:jc w:val="both"/>
        <w:ind w:left="740" w:right="360" w:hanging="536"/>
        <w:spacing w:after="0"/>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(i) 28,303,684 shares held of record by our executive officers and directors, of which 158,334 shares are subject to repurchase by us at the original purchase price as of March 20, 2019 and (ii) 3,727,500 shares pursuant to options exercisable within 60 days of March 20, 2019, of which 2,228,018 shares have vested as of March 20, 2019.</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following description of our capital stock summarizes the most important terms of our capital stock as they are expected to be in effect upon the completion of this offering. The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completion of this offering. Copies of these documents have been filed with the SEC as exhibits to our registration statement, of which this prospectus forms a part.</w:t>
      </w:r>
    </w:p>
    <w:p>
      <w:pPr>
        <w:spacing w:after="0" w:line="203"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Our amended and restated certificate of incorporation provides for common stock and undesignated convertible preferred stock, the rights, preferences and privileges of which may be designated from time to time by our board of directors.</w:t>
      </w:r>
    </w:p>
    <w:p>
      <w:pPr>
        <w:spacing w:after="0" w:line="197"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us to issue up to 400,000,000 shares of common stock, par value $0.001 per share, and 10,000,000 shares of preferred stock, par value $0.001 per share. As of December 31, 2018, assuming the conversion of all outstanding shares of our convertible preferred stock into an aggregate of 47,267,466 shares of our common stock, there were outstanding:</w:t>
      </w:r>
    </w:p>
    <w:p>
      <w:pPr>
        <w:spacing w:after="0" w:line="107" w:lineRule="exact"/>
        <w:rPr>
          <w:sz w:val="20"/>
          <w:szCs w:val="20"/>
          <w:color w:val="auto"/>
        </w:rPr>
      </w:pPr>
    </w:p>
    <w:p>
      <w:pPr>
        <w:ind w:left="960" w:hanging="216"/>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54,205,356 shares of our common stock held by approximately 178 stockholders of record;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9,806,689 shares of our common stock issuable upon exercise of outstanding stock options; and</w:t>
      </w:r>
    </w:p>
    <w:p>
      <w:pPr>
        <w:spacing w:after="0" w:line="117" w:lineRule="exact"/>
        <w:rPr>
          <w:rFonts w:ascii="Arial" w:cs="Arial" w:eastAsia="Arial" w:hAnsi="Arial"/>
          <w:sz w:val="18"/>
          <w:szCs w:val="18"/>
          <w:color w:val="auto"/>
        </w:rPr>
      </w:pPr>
    </w:p>
    <w:p>
      <w:pPr>
        <w:ind w:left="960" w:right="260" w:hanging="216"/>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19,637 shares of our common stock (on an as-converted basis) issuable upon exercise of an outstanding Series A convertible preferred stock warrant, at an exercise price of $2.00 per share which automatically net exercised into shares of our Series A convertible preferred stock that are convertible into 16,380 shares of our common stock on February 3, 2019.</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w:t>
      </w:r>
    </w:p>
    <w:p>
      <w:pPr>
        <w:ind w:left="200" w:right="60"/>
        <w:spacing w:after="0" w:line="238" w:lineRule="auto"/>
        <w:rPr>
          <w:sz w:val="20"/>
          <w:szCs w:val="20"/>
          <w:color w:val="auto"/>
        </w:rPr>
      </w:pPr>
      <w:r>
        <w:rPr>
          <w:rFonts w:ascii="Arial" w:cs="Arial" w:eastAsia="Arial" w:hAnsi="Arial"/>
          <w:sz w:val="18"/>
          <w:szCs w:val="18"/>
          <w:color w:val="auto"/>
        </w:rPr>
        <w:t xml:space="preserve">addition to any vote of holders of a specific class or series, or required by law or the amended and restated certificate of incorporation, the affirmative vote of holders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of the then 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Subject to preferences that may apply to any outstanding convertible preferred stock, holders of our common stock are entitled to receive ratably any dividends that our board of directors may declare out of funds legally available for that purpose.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left="200" w:right="440" w:firstLine="551"/>
        <w:spacing w:after="0" w:line="246"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convertible preferred stock.</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All outstanding shares of our common stock are fully paid and nonassessable, and the shares of common stock to be issued upon completion of this offering will be fully paid and nonassessable.</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this offering, all outstanding shares of our convertible preferred stock will convert into shares of common stock.</w:t>
      </w:r>
    </w:p>
    <w:p>
      <w:pPr>
        <w:spacing w:after="0" w:line="10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Upon completion of this offering, our board of directors will have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We have no current plan to issue any shares of convertible preferred stock.</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left="200" w:right="280" w:firstLine="551"/>
        <w:spacing w:after="0" w:line="237" w:lineRule="auto"/>
        <w:rPr>
          <w:sz w:val="20"/>
          <w:szCs w:val="20"/>
          <w:color w:val="auto"/>
        </w:rPr>
      </w:pPr>
      <w:r>
        <w:rPr>
          <w:rFonts w:ascii="Arial" w:cs="Arial" w:eastAsia="Arial" w:hAnsi="Arial"/>
          <w:sz w:val="18"/>
          <w:szCs w:val="18"/>
          <w:color w:val="auto"/>
        </w:rPr>
        <w:t>We are party to an amended and restated investor rights agreement that provides that holders of our convertible preferred stock and certain holders of our common stock, including certain holders of 5% of our capital stock and entities affiliated with certain of our directors, have certain registration rights, as set forth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demand, piggyback and Form S-3 registrations described below.</w:t>
      </w:r>
    </w:p>
    <w:p>
      <w:pPr>
        <w:spacing w:after="0" w:line="205"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its shares under Rule 144 of the Securities Act during any three-month period or (iii) upon termination of the investors’ rights agreement.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left="200" w:right="600" w:firstLine="551"/>
        <w:spacing w:after="0" w:line="246" w:lineRule="auto"/>
        <w:rPr>
          <w:sz w:val="20"/>
          <w:szCs w:val="20"/>
          <w:color w:val="auto"/>
        </w:rPr>
      </w:pPr>
      <w:r>
        <w:rPr>
          <w:rFonts w:ascii="Arial" w:cs="Arial" w:eastAsia="Arial" w:hAnsi="Arial"/>
          <w:sz w:val="18"/>
          <w:szCs w:val="18"/>
          <w:color w:val="auto"/>
        </w:rPr>
        <w:t>The holders of an aggregate of 54,205,356 shares of common stock outstanding as of December 31, 2018, including shares issuable upon conversion of outstanding convertible preferred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stock, giving effect to the company conversion as if it occurred on such date, will be entitled to certain demand registration rights. At any time following 180 days after the completion of this offering, the holders of 40% of the shares having demand registration rights may request that we register at least a majority of their shares of common stock for sale under the Securities Act. We will affect the registration as requested, unless, in the good faith judgment of our board of directors, such registration would be materially detrimental to the company and its stockholders and should be delayed. In addition, when we are eligible for the use of Form S-3, or any successor form, holders of the shares having demand registration rights may make unlimited requests that we register all or a portion of their common stock for sale under the Securities Act on Form S-3, or any successor form, so long as the aggregate price to the public in connection with any such offering is at least $2.0 million.</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connection with this offering, the holders of an aggregate of 54,205,356 shares of common stock outstanding at December 31, 2018, including shares issuable upon conversion of outstanding convertible preferred stock, giving effect to the company conversion as if it occurred on such date, were entitled to, and the necessary percentage of holders waived, their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or a registration statement on Forms S-4 or S-8 or related to stock issued upon conversion of debt securities,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holders of an aggregate of 54,205,356 shares of common stock outstanding at December 31, 2018, including shares issuable upon conversion of outstanding convertible preferred stock, giving effect to the company conversion as if it occurred on such date, will be entitled to certain Form S-3 registration rights. Any holder or holders of these shares can make a request that we register their shares on Form S-3 if we are qualified to file a registration statement on Form S-3, subject to certain specified exceptions. Such request for registration on Form S-3 must cover securities the aggregate offering price of which, before payment of the underwriting discount, equals or exceeds $2.0 million. We will not be required to effect more than two registrations on Form S-3 within any 12-month period.</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Anti-Takeover Provisions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Completion of this Offering</w:t>
      </w:r>
    </w:p>
    <w:p>
      <w:pPr>
        <w:spacing w:after="0" w:line="126" w:lineRule="exact"/>
        <w:rPr>
          <w:sz w:val="20"/>
          <w:szCs w:val="20"/>
          <w:color w:val="auto"/>
        </w:rPr>
      </w:pPr>
    </w:p>
    <w:p>
      <w:pPr>
        <w:ind w:left="200" w:right="560" w:firstLine="551"/>
        <w:spacing w:after="0"/>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will include a number of provisions that may deter or impede hostile takeovers or changes of control or management. These provisions include:</w:t>
      </w:r>
    </w:p>
    <w:p>
      <w:pPr>
        <w:spacing w:after="0" w:line="86" w:lineRule="exact"/>
        <w:rPr>
          <w:sz w:val="20"/>
          <w:szCs w:val="20"/>
          <w:color w:val="auto"/>
        </w:rPr>
      </w:pPr>
    </w:p>
    <w:p>
      <w:pPr>
        <w:ind w:left="960" w:right="260" w:hanging="216"/>
        <w:spacing w:after="0" w:line="244"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Issuance of Undesignated Preferred Stock: </w:t>
      </w:r>
      <w:r>
        <w:rPr>
          <w:rFonts w:ascii="Arial" w:cs="Arial" w:eastAsia="Arial" w:hAnsi="Arial"/>
          <w:sz w:val="18"/>
          <w:szCs w:val="18"/>
          <w:color w:val="auto"/>
        </w:rPr>
        <w:t>After the filing of our amended and restated certificate of incorporation,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will have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960" w:right="60" w:hanging="216"/>
        <w:spacing w:after="0" w:line="24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three 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79" w:lineRule="exact"/>
        <w:rPr>
          <w:rFonts w:ascii="Arial" w:cs="Arial" w:eastAsia="Arial" w:hAnsi="Arial"/>
          <w:sz w:val="18"/>
          <w:szCs w:val="18"/>
          <w:color w:val="auto"/>
        </w:rPr>
      </w:pPr>
    </w:p>
    <w:p>
      <w:pPr>
        <w:ind w:left="960" w:right="140" w:hanging="216"/>
        <w:spacing w:after="0" w:line="244"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 only our board 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2" w:lineRule="exact"/>
        <w:rPr>
          <w:rFonts w:ascii="Arial" w:cs="Arial" w:eastAsia="Arial" w:hAnsi="Arial"/>
          <w:sz w:val="18"/>
          <w:szCs w:val="18"/>
          <w:color w:val="auto"/>
        </w:rPr>
      </w:pPr>
    </w:p>
    <w:p>
      <w:pPr>
        <w:ind w:left="960" w:hanging="216"/>
        <w:spacing w:after="0" w:line="244"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stockholders may not take action by written consent, but may only take action at annual or special meetings of our stockholders. Stockholders will not be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82" w:lineRule="exact"/>
        <w:rPr>
          <w:rFonts w:ascii="Arial" w:cs="Arial" w:eastAsia="Arial" w:hAnsi="Arial"/>
          <w:sz w:val="18"/>
          <w:szCs w:val="18"/>
          <w:color w:val="auto"/>
        </w:rPr>
      </w:pPr>
    </w:p>
    <w:p>
      <w:pPr>
        <w:ind w:left="960" w:right="60" w:hanging="216"/>
        <w:spacing w:after="0" w:line="242"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201" w:lineRule="exact"/>
        <w:rPr>
          <w:sz w:val="20"/>
          <w:szCs w:val="20"/>
          <w:color w:val="auto"/>
        </w:rPr>
      </w:pPr>
    </w:p>
    <w:p>
      <w:pPr>
        <w:ind w:left="200" w:right="280" w:firstLine="551"/>
        <w:spacing w:after="0" w:line="23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05" w:lineRule="exact"/>
        <w:rPr>
          <w:sz w:val="20"/>
          <w:szCs w:val="20"/>
          <w:color w:val="auto"/>
        </w:rPr>
      </w:pPr>
    </w:p>
    <w:p>
      <w:pPr>
        <w:ind w:left="200" w:right="220" w:firstLine="551"/>
        <w:spacing w:after="0" w:line="239" w:lineRule="auto"/>
        <w:rPr>
          <w:sz w:val="20"/>
          <w:szCs w:val="20"/>
          <w:color w:val="auto"/>
        </w:rPr>
      </w:pPr>
      <w:r>
        <w:rPr>
          <w:rFonts w:ascii="Arial" w:cs="Arial" w:eastAsia="Arial" w:hAnsi="Arial"/>
          <w:sz w:val="18"/>
          <w:szCs w:val="18"/>
          <w:color w:val="auto"/>
        </w:rPr>
        <w:t>Certain provisions in our collaboration agreement with Merck may also deter a change of control. See “Risk Factors—Some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6"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We are subject to Section 203 of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08" w:lineRule="exact"/>
        <w:rPr>
          <w:sz w:val="20"/>
          <w:szCs w:val="20"/>
          <w:color w:val="auto"/>
        </w:rPr>
      </w:pPr>
    </w:p>
    <w:p>
      <w:pPr>
        <w:ind w:left="960" w:right="480" w:hanging="216"/>
        <w:spacing w:after="0" w:line="246"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102" w:lineRule="exact"/>
        <w:rPr>
          <w:rFonts w:ascii="Arial" w:cs="Arial" w:eastAsia="Arial" w:hAnsi="Arial"/>
          <w:sz w:val="18"/>
          <w:szCs w:val="18"/>
          <w:color w:val="auto"/>
        </w:rPr>
      </w:pPr>
    </w:p>
    <w:p>
      <w:pPr>
        <w:ind w:left="960" w:right="920" w:hanging="216"/>
        <w:spacing w:after="0" w:line="246"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spacing w:after="0" w:line="239" w:lineRule="auto"/>
        <w:rPr>
          <w:sz w:val="20"/>
          <w:szCs w:val="20"/>
          <w:color w:val="auto"/>
        </w:rPr>
      </w:pPr>
      <w:r>
        <w:rPr>
          <w:rFonts w:ascii="Arial" w:cs="Arial" w:eastAsia="Arial" w:hAnsi="Arial"/>
          <w:sz w:val="18"/>
          <w:szCs w:val="18"/>
          <w:color w:val="auto"/>
        </w:rPr>
        <w:t>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107" w:lineRule="exact"/>
        <w:rPr>
          <w:sz w:val="20"/>
          <w:szCs w:val="20"/>
          <w:color w:val="auto"/>
        </w:rPr>
      </w:pPr>
    </w:p>
    <w:p>
      <w:pPr>
        <w:ind w:left="960" w:hanging="216"/>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117" w:lineRule="exact"/>
        <w:rPr>
          <w:sz w:val="20"/>
          <w:szCs w:val="20"/>
          <w:color w:val="auto"/>
        </w:rPr>
      </w:pPr>
    </w:p>
    <w:p>
      <w:pPr>
        <w:ind w:left="960" w:hanging="216"/>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960" w:right="960" w:hanging="216"/>
        <w:spacing w:after="0" w:line="246"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02"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02"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97" w:lineRule="exact"/>
        <w:rPr>
          <w:sz w:val="20"/>
          <w:szCs w:val="20"/>
          <w:color w:val="auto"/>
        </w:rPr>
      </w:pPr>
    </w:p>
    <w:p>
      <w:pPr>
        <w:ind w:left="200" w:right="320" w:firstLine="551"/>
        <w:spacing w:after="0"/>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203"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Choice of Forum</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Our transfer agent and registrar for our common stock upon the completion of this offering will be American Stock Transfer &amp; Trust Company, LLC. The transfer agent’s address is 6201 15th Avenue, Brooklyn, New York 11219.</w:t>
      </w: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Nasdaq Global Select Market</w:t>
      </w:r>
    </w:p>
    <w:p>
      <w:pPr>
        <w:spacing w:after="0" w:line="234" w:lineRule="exact"/>
        <w:rPr>
          <w:sz w:val="20"/>
          <w:szCs w:val="20"/>
          <w:color w:val="auto"/>
        </w:rPr>
      </w:pPr>
    </w:p>
    <w:p>
      <w:pPr>
        <w:jc w:val="center"/>
        <w:ind w:right="100"/>
        <w:spacing w:after="0" w:line="418" w:lineRule="auto"/>
        <w:rPr>
          <w:sz w:val="20"/>
          <w:szCs w:val="20"/>
          <w:color w:val="auto"/>
        </w:rPr>
      </w:pPr>
      <w:r>
        <w:rPr>
          <w:rFonts w:ascii="Arial" w:cs="Arial" w:eastAsia="Arial" w:hAnsi="Arial"/>
          <w:sz w:val="18"/>
          <w:szCs w:val="18"/>
          <w:color w:val="auto"/>
        </w:rPr>
        <w:t>Our common stock has been approved for listing on the Nasdaq Global Select Market under the trading symbol “NGM.” 195</w:t>
      </w:r>
    </w:p>
    <w:p>
      <w:pPr>
        <w:sectPr>
          <w:pgSz w:w="11900" w:h="16838" w:orient="portrait"/>
          <w:cols w:equalWidth="0" w:num="1">
            <w:col w:w="11100"/>
          </w:cols>
          <w:pgMar w:left="240" w:top="459" w:right="5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including shares issued upon exercise of outstanding options, or the anticipation of such sales, could adversely affect prevailing market prices of our common stock from time to time and could impair our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208"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Based on the number of shares of common stock outstanding as of December 31, 2018, upon completion of this offering and the concurrent private placement with Merck, 64,993,706 shares of our common stock will be outstanding.</w:t>
      </w:r>
    </w:p>
    <w:p>
      <w:pPr>
        <w:spacing w:after="0" w:line="19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All of the shares sold in this offering will be freely tradable unless purchased by our affiliates. The remaining 60,872,023 shares of common stock outstanding after this offering will be restricted as a result of securities laws or lock-up agreements as described below. Following the expiration of the lock-up period, all shares will be eligible for resale, subject to compliance with Rule 144 or Rule 701 of the Securities Act, to the extent these shares have been released from any repurchase option that we may hold.</w:t>
      </w:r>
    </w:p>
    <w:p>
      <w:pPr>
        <w:spacing w:after="0" w:line="202"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02" w:lineRule="exact"/>
        <w:rPr>
          <w:sz w:val="20"/>
          <w:szCs w:val="20"/>
          <w:color w:val="auto"/>
        </w:rPr>
      </w:pPr>
    </w:p>
    <w:p>
      <w:pPr>
        <w:jc w:val="both"/>
        <w:ind w:left="200" w:right="80" w:firstLine="551"/>
        <w:spacing w:after="0"/>
        <w:rPr>
          <w:sz w:val="20"/>
          <w:szCs w:val="20"/>
          <w:color w:val="auto"/>
        </w:rPr>
      </w:pPr>
      <w:r>
        <w:rPr>
          <w:rFonts w:ascii="Arial" w:cs="Arial" w:eastAsia="Arial" w:hAnsi="Arial"/>
          <w:sz w:val="18"/>
          <w:szCs w:val="18"/>
          <w:color w:val="auto"/>
        </w:rPr>
        <w:t>In addition,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and Rule 144 and Rule 701 of the Securities Act.</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general, under Rule 144 of the Securities Act as in effect on the date of this prospectus, beginning 90 days after the date of this prospectus, any person who is not our affiliate at any time during the preceding three months, and who has beneficially owned their shares for at least six months, including the holding period of any prior owner other than one of our affiliates, would be entitled to sell an unlimited number of shares of our common stock provided current public information about us is available and, after owning such shares for at least one year, including the holding period of any prior owner other than one of our affiliates, would be entitled to sell an unlimited number of shares of our common stock without restriction.</w:t>
      </w:r>
    </w:p>
    <w:p>
      <w:pPr>
        <w:spacing w:after="0" w:line="205"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within any three-month period a number of shares that does not exceed the greater of:</w:t>
      </w:r>
    </w:p>
    <w:p>
      <w:pPr>
        <w:spacing w:after="0" w:line="107" w:lineRule="exact"/>
        <w:rPr>
          <w:sz w:val="20"/>
          <w:szCs w:val="20"/>
          <w:color w:val="auto"/>
        </w:rPr>
      </w:pPr>
    </w:p>
    <w:p>
      <w:pPr>
        <w:ind w:left="960" w:right="180" w:hanging="216"/>
        <w:spacing w:after="0" w:line="246"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649,937 shares, or 659,937 shares if the underwriters exercise their option to</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500"/>
        <w:spacing w:after="0" w:line="246" w:lineRule="auto"/>
        <w:rPr>
          <w:sz w:val="20"/>
          <w:szCs w:val="20"/>
          <w:color w:val="auto"/>
        </w:rPr>
      </w:pPr>
      <w:r>
        <w:rPr>
          <w:rFonts w:ascii="Arial" w:cs="Arial" w:eastAsia="Arial" w:hAnsi="Arial"/>
          <w:sz w:val="18"/>
          <w:szCs w:val="18"/>
          <w:color w:val="auto"/>
        </w:rPr>
        <w:t>purchase additional shares in full, immediately following this offering, based on the number of shares of our common stock outstanding upon completion of this offering; or</w:t>
      </w:r>
    </w:p>
    <w:p>
      <w:pPr>
        <w:spacing w:after="0" w:line="102" w:lineRule="exact"/>
        <w:rPr>
          <w:sz w:val="20"/>
          <w:szCs w:val="20"/>
          <w:color w:val="auto"/>
        </w:rPr>
      </w:pPr>
    </w:p>
    <w:p>
      <w:pPr>
        <w:ind w:left="960" w:right="400" w:hanging="216"/>
        <w:spacing w:after="0" w:line="246"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Nasdaq during the four calendar weeks preceding the filing of a Notice of Proposed Sale of Securities pursuant to Rule 144 with respect to the sale;</w:t>
      </w:r>
    </w:p>
    <w:p>
      <w:pPr>
        <w:spacing w:after="0" w:line="89" w:lineRule="exact"/>
        <w:rPr>
          <w:sz w:val="20"/>
          <w:szCs w:val="20"/>
          <w:color w:val="auto"/>
        </w:rPr>
      </w:pPr>
    </w:p>
    <w:p>
      <w:pPr>
        <w:ind w:left="760" w:right="40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Sales under Rule 144 by our affiliates are also subject to manner of sale provisions and notice requirements and to the availability of current public information about us.</w:t>
      </w:r>
    </w:p>
    <w:p>
      <w:pPr>
        <w:spacing w:after="0" w:line="203"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Upon expiration of the 180-day lock-up period described below, 58,432,247 shares of our common stock will be eligible for sale under Rule 144. We cannot estimate the number of shares of our common stock that our existing stockholders will elect to sell under Rule 144.</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In general, under Rule 701 of the Securities Act,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along with our directors and executive officers and the holders of substantially all of our common stock (including shares issuable upon exercise or conversion of existing securities and shares issuable to Merck in the concurrent private placement), have agreed with the underwriters that, for a period of 180 days following the date of this prospectus, we or they will not offer, sell, contract to sell, pledge, grant any option to purchase, make any short sale or otherwise dispose of any shares of our common stock (including, for our directors and officers, any shares issued in this offering or other issuer-directed shares), or any options or warrants to purchase any shares of our common stock, or any securities convertible into, exchangeable for or that represent the right to receive shares of our common stock, whether now owned or later acquired, owned directly or with respect to which we or they have beneficial ownership within the rules and regulations of the SEC, subject to specified exceptions. The underwriters may, in their sole discretion, at any time without prior notice, release all or any portion of the shares from the restrictions in any such agreement.</w:t>
      </w:r>
    </w:p>
    <w:p>
      <w:pPr>
        <w:spacing w:after="0" w:line="207"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Merck has also agreed, subject to specified exceptions, during the period of the initial five-year research phase under our collaboration agreement, not to sell any of its shares of our capital stock. See “Our Collaboration with Merck—Detailed Description of the Merck Collaboration—Standstill, Lock-Up and Voting Agreements.”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Incentive Plans</w:t>
      </w:r>
    </w:p>
    <w:p>
      <w:pPr>
        <w:spacing w:after="0" w:line="234"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issuable under our equity incentive plans. We expect to file the registration statement covering such shares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00"/>
          </w:cols>
          <w:pgMar w:left="240" w:top="460"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shortly after the date of this prospectus, permitting the resale of such shares by non-affiliates in the public market without restriction under the Securities Act and the sale by affiliates in the public market, subject to compliance with the resale provisions of Rule 144. For more information on our equity incentive plans, see “Executive and Director Compensation—Equity Incentive Plans.”</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Holders of 54,205,356 shares of our convertible preferred stock and common stock have the right to demand that we file a registration statement or request that we cover their shares by a registration statement that we otherwise file. For more information, see “Description of Capital Stock—Registration Rights.” Except for shares purchased by affiliates, registration of their shares under the Securities Act would result in these shares becoming freely tradable without restriction under the Securities Act immediately upon the effectiveness of the registration statement, subject to the expiration of the lock-up period and to the extent these shares have been released from any repurchase option that we may hold.</w:t>
      </w:r>
    </w:p>
    <w:p>
      <w:pPr>
        <w:spacing w:after="0" w:line="1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240" w:top="459"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207"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08" w:lineRule="exact"/>
        <w:rPr>
          <w:sz w:val="20"/>
          <w:szCs w:val="20"/>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17"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97"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240" w:top="460"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Definition of Non-U.S. Holder</w:t>
      </w:r>
    </w:p>
    <w:p>
      <w:pPr>
        <w:spacing w:after="0" w:line="234" w:lineRule="exact"/>
        <w:rPr>
          <w:sz w:val="20"/>
          <w:szCs w:val="20"/>
          <w:color w:val="auto"/>
        </w:rPr>
      </w:pPr>
    </w:p>
    <w:p>
      <w:pPr>
        <w:jc w:val="both"/>
        <w:ind w:left="200" w:right="380" w:firstLine="551"/>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08" w:lineRule="exact"/>
        <w:rPr>
          <w:sz w:val="20"/>
          <w:szCs w:val="20"/>
          <w:color w:val="auto"/>
        </w:rPr>
      </w:pPr>
    </w:p>
    <w:p>
      <w:pPr>
        <w:ind w:left="960" w:hanging="216"/>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960" w:right="280" w:hanging="216"/>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Distributions on Our Common Stock</w:t>
      </w:r>
    </w:p>
    <w:p>
      <w:pPr>
        <w:spacing w:after="0" w:line="234"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203" w:lineRule="exact"/>
        <w:rPr>
          <w:sz w:val="20"/>
          <w:szCs w:val="20"/>
          <w:color w:val="auto"/>
        </w:rPr>
      </w:pPr>
    </w:p>
    <w:p>
      <w:pPr>
        <w:ind w:left="200" w:right="180" w:firstLine="551"/>
        <w:spacing w:after="0" w:line="236"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80"/>
          </w:cols>
          <w:pgMar w:left="24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firstLine="551"/>
        <w:spacing w:after="0" w:line="246"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97"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Any dividends paid on our common stock that are effectively connected with a non-U.S. holder’s U.S. trade or business (and if required by an applicable income tax treaty, are attributable to a permanent establishment maintained by the non-U.S. holder in the United States)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w:t>
      </w:r>
    </w:p>
    <w:p>
      <w:pPr>
        <w:ind w:left="200"/>
        <w:spacing w:after="0"/>
        <w:rPr>
          <w:sz w:val="20"/>
          <w:szCs w:val="20"/>
          <w:color w:val="auto"/>
        </w:rPr>
      </w:pPr>
      <w:r>
        <w:rPr>
          <w:rFonts w:ascii="Arial" w:cs="Arial" w:eastAsia="Arial" w:hAnsi="Arial"/>
          <w:sz w:val="18"/>
          <w:szCs w:val="18"/>
          <w:color w:val="auto"/>
        </w:rPr>
        <w:t>federal income tax on any gain realized on the sale or other disposition of our common stock, unless:</w:t>
      </w:r>
    </w:p>
    <w:p>
      <w:pPr>
        <w:spacing w:after="0" w:line="117" w:lineRule="exact"/>
        <w:rPr>
          <w:sz w:val="20"/>
          <w:szCs w:val="20"/>
          <w:color w:val="auto"/>
        </w:rPr>
      </w:pPr>
    </w:p>
    <w:p>
      <w:pPr>
        <w:ind w:left="960" w:hanging="216"/>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08" w:lineRule="exact"/>
        <w:rPr>
          <w:rFonts w:ascii="Arial" w:cs="Arial" w:eastAsia="Arial" w:hAnsi="Arial"/>
          <w:sz w:val="18"/>
          <w:szCs w:val="18"/>
          <w:color w:val="auto"/>
        </w:rPr>
      </w:pPr>
    </w:p>
    <w:p>
      <w:pPr>
        <w:ind w:left="960" w:right="60" w:hanging="216"/>
        <w:spacing w:after="0" w:line="246"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2" w:lineRule="exact"/>
        <w:rPr>
          <w:rFonts w:ascii="Arial" w:cs="Arial" w:eastAsia="Arial" w:hAnsi="Arial"/>
          <w:sz w:val="18"/>
          <w:szCs w:val="18"/>
          <w:color w:val="auto"/>
        </w:rPr>
      </w:pPr>
    </w:p>
    <w:p>
      <w:pPr>
        <w:ind w:left="960" w:right="200" w:hanging="216"/>
        <w:spacing w:after="0" w:line="239"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202"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202"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207" w:lineRule="exact"/>
        <w:rPr>
          <w:sz w:val="20"/>
          <w:szCs w:val="20"/>
          <w:color w:val="auto"/>
        </w:rPr>
      </w:pPr>
    </w:p>
    <w:p>
      <w:pPr>
        <w:ind w:left="200" w:right="360" w:firstLine="551"/>
        <w:spacing w:after="0"/>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FATCA Withholding Taxes</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While FATCA would also apply to gross proceeds from the sale or other dispositions of our common stock, recently proposed regulations promulgated by the Treasury Department, which state that taxpayers may rely on the proposed regulations until final regulations are issued, eliminate this requirement.</w:t>
      </w:r>
    </w:p>
    <w:p>
      <w:pPr>
        <w:spacing w:after="0" w:line="206"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ind w:left="200"/>
        <w:spacing w:after="0" w:line="234" w:lineRule="auto"/>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Goldman Sachs &amp; Co. LLC, Citigroup Global Markets Inc. and Cowen and Company, LLC are the representatives of the underwriters.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0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0040" w:type="dxa"/>
            <w:vAlign w:val="bottom"/>
            <w:gridSpan w:val="3"/>
            <w:vMerge w:val="continue"/>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9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9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7"/>
              </w:rPr>
              <w:t>2,866,667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20" w:type="dxa"/>
            <w:vAlign w:val="bottom"/>
            <w:gridSpan w:val="2"/>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920" w:type="dxa"/>
            <w:vAlign w:val="bottom"/>
          </w:tcPr>
          <w:p>
            <w:pPr>
              <w:ind w:left="120"/>
              <w:spacing w:after="0" w:line="202" w:lineRule="exact"/>
              <w:rPr>
                <w:sz w:val="20"/>
                <w:szCs w:val="20"/>
                <w:color w:val="auto"/>
              </w:rPr>
            </w:pPr>
            <w:r>
              <w:rPr>
                <w:rFonts w:ascii="Arial" w:cs="Arial" w:eastAsia="Arial" w:hAnsi="Arial"/>
                <w:sz w:val="18"/>
                <w:szCs w:val="18"/>
                <w:color w:val="auto"/>
                <w:w w:val="97"/>
              </w:rPr>
              <w:t>2,266,667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920" w:type="dxa"/>
            <w:vAlign w:val="bottom"/>
            <w:tcBorders>
              <w:bottom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1,533,333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6,666,667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The underwriters have an option to buy up to an additional 1,000,000 shares of common stock from us. Any shares sold to underwriters pursuant to the option will be sold at the initial public offering price, less underwriting discounts and commissions. They may exercise that option for 30 days. If any shares are purchased pursuant to this option, the underwriters will severally purchase shares in approximately the same proportion as set forth in the table above.</w:t>
      </w:r>
    </w:p>
    <w:p>
      <w:pPr>
        <w:spacing w:after="0" w:line="202" w:lineRule="exact"/>
        <w:rPr>
          <w:sz w:val="20"/>
          <w:szCs w:val="20"/>
          <w:color w:val="auto"/>
        </w:rPr>
      </w:pPr>
    </w:p>
    <w:p>
      <w:pPr>
        <w:jc w:val="both"/>
        <w:ind w:left="200" w:right="340" w:firstLine="551"/>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Such amounts are shown assuming both no exercise and full exercise of the underwriters’ option to purchase 1,000,000 additional shares of common stock from us.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Paid by Us</w:t>
            </w:r>
          </w:p>
        </w:tc>
        <w:tc>
          <w:tcPr>
            <w:tcW w:w="39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No Exercise</w:t>
            </w:r>
          </w:p>
        </w:tc>
        <w:tc>
          <w:tcPr>
            <w:tcW w:w="38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39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7,466,667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8,586,667</w:t>
            </w:r>
          </w:p>
        </w:tc>
        <w:tc>
          <w:tcPr>
            <w:tcW w:w="80" w:type="dxa"/>
            <w:vAlign w:val="bottom"/>
          </w:tcPr>
          <w:p>
            <w:pPr>
              <w:spacing w:after="0"/>
              <w:rPr>
                <w:sz w:val="18"/>
                <w:szCs w:val="18"/>
                <w:color w:val="auto"/>
              </w:rPr>
            </w:pPr>
          </w:p>
        </w:tc>
      </w:tr>
    </w:tbl>
    <w:p>
      <w:pPr>
        <w:spacing w:after="0" w:line="201"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$0.672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At our request, the underwriters have reserved up to 333,333 shares being offered by this prospectus for sale at the initial public offering price to our directors, officers, employees, business associates and related persons through a directed share program. The number of shares available for sale to the general public will be reduced by the number of directed shares purchased by participants in the program.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w:t>
      </w:r>
    </w:p>
    <w:p>
      <w:pPr>
        <w:spacing w:after="0" w:line="205"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In connection with this offering, we have agreed with the underwriters, subject to certain exceptions, including for the issuance of up to 5% of our outstanding shares of common stock immediately following the closing of this offering and the concurrent private placement to Merck in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connection with acquisitions or strategic transactions provided that any recipient of such shares enter into a lock-up agreement substantially similar to what is described below, not to dispose of or hedge any of our common stock or securities convertible into or exchangeable for shares of common stock for 180 days following the date of this prospectus, except with the prior written consent of the representatives. This agreement also does not apply to any existing employee benefit plans.</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addition, our executive officers and directors and holders of substantially all of our common stock (including shares issuable upon exercise or conversion of existing securities and shares issuable to Merck in the concurrent private placement) have agreed with the underwriters, subject to certain exceptions, not to offer, sell, contract to sell, pledge, grant any option to purchase, make any short sale or otherwise dispose of any shares of our common stock, or any options or warrants to purchase any shares of our common stock, or any securities convertible into, exchangeable for or that represent the right to receive shares of our common stock (including any preferred shares), whether now owned or acquired after entry in the lock-up agreement, owned directly by the party to the lock-up agreement (including holding as a custodian) or with respect to which the party to the lock-up agreement has beneficial ownership within the rules and regulations of the Securities and Exchange Commission (collectively, “lock-up securities”), or to engage in any hedging or other transaction which is designed to or which reasonably could be expected to lead to or result in a sale or disposition of the lock-up securities, for 180 days following the date of this prospectus, except with the prior written consent of the representatives.</w:t>
      </w:r>
    </w:p>
    <w:p>
      <w:pPr>
        <w:spacing w:after="0" w:line="20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 restrictions in the immediately preceding paragraph do not apply to our directors, officers or holders of our outstanding common stock or other securities in certain circumstances, including (i) the transfers not for value of our common stock as bona fide gifts, by will, to an immediate family member or to certain trusts; (ii) to the extent the party to the lock-up agreement is an entity, the transfer of our common stock to affiliates, limited partners, general partners, limited liability company members or stockholders; (iii) transfers of our common stock pursuant to a bona fide third-party tender offer, merger, consolidation or other similar transaction made to all of our stockholders and involving a change of control of us; (iv) transfer of our common stock to us for the net exercise of options granted pursuant to our equity incentive plans described elsewhere in this prospectus or to cover tax withholding for grants pursuant to our equity incentive plans; (v) shares of our common stock acquired after the date of this offering and, unless the party to the lock-up agreement is one of our directors or officers, sale of shares of our common stock acquired in this offering; (vi) the establishment of a 10b5-1 trading plan under the Exchange Act; and (vii) the conversion of shares of our outstanding convertible preferred stock into shares of our common stock. The exceptions described in (i) through (iii) above are subject to a requirement that the transferee enter into a lockup agreement with the underwriters containing similar restrictions and the exceptions described in (i), (ii) and (iv) through (vi) above are subject to a requirement that no public announcement or filing under Section 16 of the Exchange Act shall be required or voluntarily made during the restricted period.</w:t>
      </w:r>
    </w:p>
    <w:p>
      <w:pPr>
        <w:spacing w:after="0" w:line="203"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97"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was negotiated among us and the representatives. Among the factors considered in determining the initial public offering price of the shares, in addition to prevailing market conditions, were our historical performance, estimates of the business potential and our earnings prospects, an assessment of our management and the consideration of the above factors in relation to market valuation of companies in related businesses.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“NGM”.</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203"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underwriters do not expect sales to discretionary accounts to exceed 5% of the total number of shares offered.</w:t>
      </w:r>
    </w:p>
    <w:p>
      <w:pPr>
        <w:spacing w:after="0" w:line="212"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 $3.5 million. We have agreed to reimburse the underwriters for expenses of up to $40,000 related to the clearance of this offering with the Financial Industry Regulatory Authority, Inc. and compliance with state securities or “blue sky” laws.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240" w:top="459"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“Relative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07" w:lineRule="exact"/>
        <w:rPr>
          <w:sz w:val="20"/>
          <w:szCs w:val="20"/>
          <w:color w:val="auto"/>
        </w:rPr>
      </w:pPr>
    </w:p>
    <w:p>
      <w:pPr>
        <w:ind w:left="960" w:hanging="216"/>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left="200" w:right="860"/>
        <w:spacing w:after="0" w:line="246"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197"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3"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240" w:top="460"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80"/>
          </w:cols>
          <w:pgMar w:left="240" w:top="460"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200" w:right="140" w:firstLine="551"/>
        <w:spacing w:after="0" w:line="261" w:lineRule="auto"/>
        <w:rPr>
          <w:sz w:val="20"/>
          <w:szCs w:val="20"/>
          <w:color w:val="auto"/>
        </w:rPr>
      </w:pPr>
      <w:r>
        <w:rPr>
          <w:rFonts w:ascii="Arial" w:cs="Arial" w:eastAsia="Arial" w:hAnsi="Arial"/>
          <w:sz w:val="17"/>
          <w:szCs w:val="17"/>
          <w:color w:val="auto"/>
        </w:rPr>
        <w:t>Cooley LLP is serving as our counsel in this offering. Davis Polk &amp; Wardwell LLP of Menlo Park, California is representing the underwriters in this offering. As of the date of this prospectus, entities comprised of partners and associates of Cooley LLP beneficially own 10,000 shares of our preferred stock, which will be converted into 10,000 shares of common stock in connection with of this offering.</w:t>
      </w: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The consolidated financial statements of NGM Biopharmaceuticals, Inc. at December 31, 2017 and 2018, and for each of the two years in the period ended December 31, 2018,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which constitutes part of that registration statement, does not contain all of the information set forth in the registration statement or the accompanying exhibits and schedules. Some items included in the registration statement are omitted from this prospectus in accordance with the rules and regulations of the SEC. For further information with respect to us and the common stock offered in this prospectus, we refer you to the registration statement and the accompanying exhibits and schedules. Statements contained in this prospectus regarding the contents of any contract, agreement or any other document are summaries of the material terms of these contracts, agreements or other documents. With respect to each of these contracts, agreements or other documents filed as an exhibit to the registration statement, reference is made to such exhibit for a more complete description of the matter involved.</w:t>
      </w:r>
    </w:p>
    <w:p>
      <w:pPr>
        <w:spacing w:after="0" w:line="20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A copy of the registration statement and the accompanying exhibits and schedules and any other document we file may be inspected without charge and copied at the SEC’s public reference room at 100 F Street, N.E.,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The address of the SEC’s website is http://www.sec.gov.</w:t>
      </w:r>
    </w:p>
    <w:p>
      <w:pPr>
        <w:spacing w:after="0" w:line="203" w:lineRule="exact"/>
        <w:rPr>
          <w:sz w:val="20"/>
          <w:szCs w:val="20"/>
          <w:color w:val="auto"/>
        </w:rPr>
      </w:pPr>
    </w:p>
    <w:p>
      <w:pPr>
        <w:ind w:left="200" w:right="100" w:firstLine="551"/>
        <w:spacing w:after="0" w:line="234" w:lineRule="auto"/>
        <w:rPr>
          <w:sz w:val="20"/>
          <w:szCs w:val="20"/>
          <w:color w:val="auto"/>
        </w:rPr>
      </w:pPr>
      <w:r>
        <w:rPr>
          <w:rFonts w:ascii="Arial" w:cs="Arial" w:eastAsia="Arial" w:hAnsi="Arial"/>
          <w:sz w:val="18"/>
          <w:szCs w:val="18"/>
          <w:color w:val="auto"/>
        </w:rPr>
        <w:t>Upon completion of this offering, we will become subject to the information and periodic reporting requirements of the Exchange Act, and we will file periodic reports, proxy statements and other information with the SEC. These periodic reports, proxy statements and other information will be available for inspection and copying at the public reference room and website of the SEC referred to above. We maintain a website at http://www.ngmbio.com. You may access our annual reports on Form 10-K, quarterly reports on Form 10-Q, current reports on Form 8-K and amendments to those reports, proxy statements and other information filed or furnished pursuant to</w:t>
      </w:r>
    </w:p>
    <w:p>
      <w:pPr>
        <w:spacing w:after="0" w:line="4"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6860" w:type="dxa"/>
            <w:vAlign w:val="bottom"/>
            <w:gridSpan w:val="8"/>
            <w:vMerge w:val="restart"/>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Report of Independent Registered Public Accounting Firm</w:t>
              </w:r>
            </w:hyperlink>
          </w:p>
        </w:tc>
        <w:tc>
          <w:tcPr>
            <w:tcW w:w="41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6860" w:type="dxa"/>
            <w:vAlign w:val="bottom"/>
            <w:gridSpan w:val="8"/>
            <w:vMerge w:val="continue"/>
          </w:tcPr>
          <w:p>
            <w:pPr>
              <w:spacing w:after="0"/>
              <w:rPr>
                <w:sz w:val="13"/>
                <w:szCs w:val="13"/>
                <w:color w:val="auto"/>
              </w:rPr>
            </w:pPr>
          </w:p>
        </w:tc>
        <w:tc>
          <w:tcPr>
            <w:tcW w:w="376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222"/>
        </w:trPr>
        <w:tc>
          <w:tcPr>
            <w:tcW w:w="46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Consolidated Financial Statements</w:t>
            </w:r>
          </w:p>
        </w:tc>
        <w:tc>
          <w:tcPr>
            <w:tcW w:w="22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6500" w:type="dxa"/>
            <w:vAlign w:val="bottom"/>
            <w:gridSpan w:val="7"/>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Consolidated Balance Sheets</w:t>
              </w:r>
            </w:hyperlink>
          </w:p>
        </w:tc>
        <w:tc>
          <w:tcPr>
            <w:tcW w:w="376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6500" w:type="dxa"/>
            <w:vAlign w:val="bottom"/>
            <w:gridSpan w:val="7"/>
          </w:tcPr>
          <w:p>
            <w:pPr>
              <w:spacing w:after="0" w:line="182" w:lineRule="exact"/>
              <w:rPr>
                <w:rFonts w:ascii="Arial" w:cs="Arial" w:eastAsia="Arial" w:hAnsi="Arial"/>
                <w:sz w:val="18"/>
                <w:szCs w:val="18"/>
                <w:color w:val="0000EE"/>
              </w:rPr>
            </w:pPr>
            <w:hyperlink w:anchor="page215">
              <w:r>
                <w:rPr>
                  <w:rFonts w:ascii="Arial" w:cs="Arial" w:eastAsia="Arial" w:hAnsi="Arial"/>
                  <w:sz w:val="18"/>
                  <w:szCs w:val="18"/>
                  <w:color w:val="0000EE"/>
                </w:rPr>
                <w:t>Consolidated Statements of Operations</w:t>
              </w:r>
            </w:hyperlink>
          </w:p>
        </w:tc>
        <w:tc>
          <w:tcPr>
            <w:tcW w:w="37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96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216">
              <w:r>
                <w:rPr>
                  <w:rFonts w:ascii="Arial" w:cs="Arial" w:eastAsia="Arial" w:hAnsi="Arial"/>
                  <w:sz w:val="18"/>
                  <w:szCs w:val="18"/>
                  <w:color w:val="0000EE"/>
                  <w:w w:val="99"/>
                </w:rPr>
                <w:t>Consolidated Statements of Comprehensive Loss</w:t>
              </w:r>
            </w:hyperlink>
          </w:p>
        </w:tc>
        <w:tc>
          <w:tcPr>
            <w:tcW w:w="2540" w:type="dxa"/>
            <w:vAlign w:val="bottom"/>
            <w:gridSpan w:val="2"/>
          </w:tcPr>
          <w:p>
            <w:pPr>
              <w:spacing w:after="0"/>
              <w:rPr>
                <w:sz w:val="15"/>
                <w:szCs w:val="15"/>
                <w:color w:val="auto"/>
              </w:rPr>
            </w:pPr>
          </w:p>
        </w:tc>
        <w:tc>
          <w:tcPr>
            <w:tcW w:w="37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65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17">
              <w:r>
                <w:rPr>
                  <w:rFonts w:ascii="Arial" w:cs="Arial" w:eastAsia="Arial" w:hAnsi="Arial"/>
                  <w:sz w:val="18"/>
                  <w:szCs w:val="18"/>
                  <w:color w:val="0000EE"/>
                  <w:w w:val="99"/>
                </w:rPr>
                <w:t>Consolidated Statements of Convertible Preferred Stock and Stockholders’ Deficit</w:t>
              </w:r>
            </w:hyperlink>
          </w:p>
        </w:tc>
        <w:tc>
          <w:tcPr>
            <w:tcW w:w="37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6500" w:type="dxa"/>
            <w:vAlign w:val="bottom"/>
            <w:gridSpan w:val="7"/>
          </w:tcPr>
          <w:p>
            <w:pPr>
              <w:spacing w:after="0" w:line="182" w:lineRule="exact"/>
              <w:rPr>
                <w:rFonts w:ascii="Arial" w:cs="Arial" w:eastAsia="Arial" w:hAnsi="Arial"/>
                <w:sz w:val="18"/>
                <w:szCs w:val="18"/>
                <w:color w:val="0000EE"/>
              </w:rPr>
            </w:pPr>
            <w:hyperlink w:anchor="page218">
              <w:r>
                <w:rPr>
                  <w:rFonts w:ascii="Arial" w:cs="Arial" w:eastAsia="Arial" w:hAnsi="Arial"/>
                  <w:sz w:val="18"/>
                  <w:szCs w:val="18"/>
                  <w:color w:val="0000EE"/>
                </w:rPr>
                <w:t>Consolidated Statements of Cash Flows</w:t>
              </w:r>
            </w:hyperlink>
          </w:p>
        </w:tc>
        <w:tc>
          <w:tcPr>
            <w:tcW w:w="37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6500" w:type="dxa"/>
            <w:vAlign w:val="bottom"/>
            <w:gridSpan w:val="7"/>
          </w:tcPr>
          <w:p>
            <w:pPr>
              <w:spacing w:after="0" w:line="182" w:lineRule="exact"/>
              <w:rPr>
                <w:rFonts w:ascii="Arial" w:cs="Arial" w:eastAsia="Arial" w:hAnsi="Arial"/>
                <w:sz w:val="18"/>
                <w:szCs w:val="18"/>
                <w:color w:val="0000EE"/>
              </w:rPr>
            </w:pPr>
            <w:hyperlink w:anchor="page219">
              <w:r>
                <w:rPr>
                  <w:rFonts w:ascii="Arial" w:cs="Arial" w:eastAsia="Arial" w:hAnsi="Arial"/>
                  <w:sz w:val="18"/>
                  <w:szCs w:val="18"/>
                  <w:color w:val="0000EE"/>
                </w:rPr>
                <w:t>Notes to Consolidated Financial Statements</w:t>
              </w:r>
            </w:hyperlink>
          </w:p>
        </w:tc>
        <w:tc>
          <w:tcPr>
            <w:tcW w:w="37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72"/>
        </w:trPr>
        <w:tc>
          <w:tcPr>
            <w:tcW w:w="360" w:type="dxa"/>
            <w:vAlign w:val="bottom"/>
          </w:tcPr>
          <w:p>
            <w:pPr>
              <w:spacing w:after="0"/>
              <w:rPr>
                <w:sz w:val="24"/>
                <w:szCs w:val="24"/>
                <w:color w:val="auto"/>
              </w:rPr>
            </w:pPr>
          </w:p>
        </w:tc>
        <w:tc>
          <w:tcPr>
            <w:tcW w:w="2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ind w:left="780"/>
              <w:spacing w:after="0"/>
              <w:rPr>
                <w:sz w:val="20"/>
                <w:szCs w:val="20"/>
                <w:color w:val="auto"/>
              </w:rPr>
            </w:pPr>
            <w:r>
              <w:rPr>
                <w:rFonts w:ascii="Arial" w:cs="Arial" w:eastAsia="Arial" w:hAnsi="Arial"/>
                <w:sz w:val="18"/>
                <w:szCs w:val="18"/>
                <w:color w:val="auto"/>
              </w:rPr>
              <w:t>F-1</w:t>
            </w:r>
          </w:p>
        </w:tc>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ind w:left="200"/>
        <w:spacing w:after="0"/>
        <w:rPr>
          <w:sz w:val="20"/>
          <w:szCs w:val="20"/>
          <w:color w:val="auto"/>
        </w:rPr>
      </w:pPr>
      <w:r>
        <w:rPr>
          <w:rFonts w:ascii="Arial" w:cs="Arial" w:eastAsia="Arial" w:hAnsi="Arial"/>
          <w:sz w:val="18"/>
          <w:szCs w:val="18"/>
          <w:color w:val="auto"/>
        </w:rPr>
        <w:t>NGM Biopharmaceuticals, Inc.</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6"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have audited the accompanying consolidated balance sheets of NGM Biopharmaceuticals, Inc. (the Company) as of December 31, 2017 and 2018, and the related consolidated statements of operations,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the years then ended in conformity with U.S. generally accepted accounting principles.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Francisco, California</w:t>
      </w:r>
    </w:p>
    <w:p>
      <w:pPr>
        <w:ind w:left="200"/>
        <w:spacing w:after="0"/>
        <w:rPr>
          <w:sz w:val="20"/>
          <w:szCs w:val="20"/>
          <w:color w:val="auto"/>
        </w:rPr>
      </w:pPr>
      <w:r>
        <w:rPr>
          <w:rFonts w:ascii="Arial" w:cs="Arial" w:eastAsia="Arial" w:hAnsi="Arial"/>
          <w:sz w:val="18"/>
          <w:szCs w:val="18"/>
          <w:color w:val="auto"/>
        </w:rPr>
        <w:t>March 25, 2019</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4"/>
          </w:tcPr>
          <w:p>
            <w:pPr>
              <w:jc w:val="center"/>
              <w:ind w:left="23"/>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(Deficit) 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(Note 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25,593</w:t>
            </w: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56,923</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tcPr>
          <w:p>
            <w:pPr>
              <w:ind w:left="300"/>
              <w:spacing w:after="0"/>
              <w:rPr>
                <w:sz w:val="20"/>
                <w:szCs w:val="20"/>
                <w:color w:val="auto"/>
              </w:rPr>
            </w:pPr>
            <w:r>
              <w:rPr>
                <w:rFonts w:ascii="Arial" w:cs="Arial" w:eastAsia="Arial" w:hAnsi="Arial"/>
                <w:sz w:val="16"/>
                <w:szCs w:val="16"/>
                <w:color w:val="auto"/>
              </w:rPr>
              <w:t>Short-term marketable securities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148,092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149,710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Related party receivable from collaboration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175,533</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214,557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gridSpan w:val="2"/>
          </w:tcPr>
          <w:p>
            <w:pPr>
              <w:spacing w:after="0"/>
              <w:rPr>
                <w:sz w:val="20"/>
                <w:szCs w:val="20"/>
                <w:color w:val="auto"/>
              </w:rPr>
            </w:pPr>
            <w:r>
              <w:rPr>
                <w:rFonts w:ascii="Arial" w:cs="Arial" w:eastAsia="Arial" w:hAnsi="Arial"/>
                <w:sz w:val="16"/>
                <w:szCs w:val="16"/>
                <w:color w:val="auto"/>
              </w:rPr>
              <w:t>Long-term marketable securities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45,150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24,873</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23,893</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gridSpan w:val="2"/>
          </w:tcPr>
          <w:p>
            <w:pPr>
              <w:spacing w:after="0"/>
              <w:rPr>
                <w:sz w:val="20"/>
                <w:szCs w:val="20"/>
                <w:color w:val="auto"/>
              </w:rPr>
            </w:pPr>
            <w:r>
              <w:rPr>
                <w:rFonts w:ascii="Arial" w:cs="Arial" w:eastAsia="Arial" w:hAnsi="Arial"/>
                <w:sz w:val="16"/>
                <w:szCs w:val="16"/>
                <w:color w:val="auto"/>
              </w:rPr>
              <w:t>Restricted cash</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Deferred IPO costs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gridSpan w:val="2"/>
          </w:tcPr>
          <w:p>
            <w:pPr>
              <w:spacing w:after="0"/>
              <w:rPr>
                <w:sz w:val="20"/>
                <w:szCs w:val="20"/>
                <w:color w:val="auto"/>
              </w:rPr>
            </w:pPr>
            <w:r>
              <w:rPr>
                <w:rFonts w:ascii="Arial" w:cs="Arial" w:eastAsia="Arial" w:hAnsi="Arial"/>
                <w:sz w:val="16"/>
                <w:szCs w:val="16"/>
                <w:color w:val="auto"/>
              </w:rPr>
              <w:t>Other non-current assets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248,941</w:t>
            </w: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246,085</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1,892</w:t>
            </w:r>
          </w:p>
        </w:tc>
        <w:tc>
          <w:tcPr>
            <w:tcW w:w="260" w:type="dxa"/>
            <w:vAlign w:val="bottom"/>
          </w:tcPr>
          <w:p>
            <w:pPr>
              <w:spacing w:after="0"/>
              <w:rPr>
                <w:sz w:val="16"/>
                <w:szCs w:val="16"/>
                <w:color w:val="auto"/>
              </w:rPr>
            </w:pPr>
          </w:p>
        </w:tc>
        <w:tc>
          <w:tcPr>
            <w:tcW w:w="4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5,775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14,003</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tcPr>
          <w:p>
            <w:pPr>
              <w:ind w:left="300"/>
              <w:spacing w:after="0"/>
              <w:rPr>
                <w:sz w:val="20"/>
                <w:szCs w:val="20"/>
                <w:color w:val="auto"/>
              </w:rPr>
            </w:pPr>
            <w:r>
              <w:rPr>
                <w:rFonts w:ascii="Arial" w:cs="Arial" w:eastAsia="Arial" w:hAnsi="Arial"/>
                <w:sz w:val="16"/>
                <w:szCs w:val="16"/>
                <w:color w:val="auto"/>
              </w:rPr>
              <w:t>Deferred rent, current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1,957</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 current</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21,358</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19,025</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36,893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41,486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non-current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14,904</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12,221</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gridSpan w:val="2"/>
          </w:tcPr>
          <w:p>
            <w:pPr>
              <w:spacing w:after="0"/>
              <w:rPr>
                <w:sz w:val="20"/>
                <w:szCs w:val="20"/>
                <w:color w:val="auto"/>
              </w:rPr>
            </w:pPr>
            <w:r>
              <w:rPr>
                <w:rFonts w:ascii="Arial" w:cs="Arial" w:eastAsia="Arial" w:hAnsi="Arial"/>
                <w:sz w:val="16"/>
                <w:szCs w:val="16"/>
                <w:color w:val="auto"/>
              </w:rPr>
              <w:t>Deferred revenue, non-current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22,742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3,942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Early exercise stock option liability</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gridSpan w:val="2"/>
          </w:tcPr>
          <w:p>
            <w:pPr>
              <w:spacing w:after="0"/>
              <w:rPr>
                <w:sz w:val="20"/>
                <w:szCs w:val="20"/>
                <w:color w:val="auto"/>
              </w:rPr>
            </w:pPr>
            <w:r>
              <w:rPr>
                <w:rFonts w:ascii="Arial" w:cs="Arial" w:eastAsia="Arial" w:hAnsi="Arial"/>
                <w:sz w:val="16"/>
                <w:szCs w:val="16"/>
                <w:color w:val="auto"/>
              </w:rPr>
              <w:t>Convertible preferred stock warrant liability</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75,045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59,406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60" w:type="dxa"/>
            <w:vAlign w:val="bottom"/>
            <w:gridSpan w:val="2"/>
          </w:tcPr>
          <w:p>
            <w:pPr>
              <w:spacing w:after="0"/>
              <w:rPr>
                <w:sz w:val="20"/>
                <w:szCs w:val="20"/>
                <w:color w:val="auto"/>
              </w:rPr>
            </w:pPr>
            <w:r>
              <w:rPr>
                <w:rFonts w:ascii="Arial" w:cs="Arial" w:eastAsia="Arial" w:hAnsi="Arial"/>
                <w:sz w:val="16"/>
                <w:szCs w:val="16"/>
                <w:color w:val="auto"/>
              </w:rPr>
              <w:t>Commitments and Contingencies (Note 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 $0.001 par value;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96,268,206 shares authorized at December 31, 2017 and 2018; 47,267,466 shares issued</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outstanding at December 31, 2017 and 2018; aggregate liquidation preference of</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$277,774 at December 31, 2017 and 2018; no shares issued and outstanding at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2018, pro forma (unaudited)</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294,874</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294,874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060" w:type="dxa"/>
            <w:vAlign w:val="bottom"/>
            <w:gridSpan w:val="2"/>
          </w:tcPr>
          <w:p>
            <w:pPr>
              <w:spacing w:after="0"/>
              <w:rPr>
                <w:sz w:val="20"/>
                <w:szCs w:val="20"/>
                <w:color w:val="auto"/>
              </w:rPr>
            </w:pPr>
            <w:r>
              <w:rPr>
                <w:rFonts w:ascii="Arial" w:cs="Arial" w:eastAsia="Arial" w:hAnsi="Arial"/>
                <w:sz w:val="16"/>
                <w:szCs w:val="16"/>
                <w:color w:val="auto"/>
              </w:rPr>
              <w:t>Stockholders’ deficit: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 $0.001 par value;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129,000,000 shares authorized at December 31, 2017 and 2018; 6,218,806 and</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6,937,890 shares issued and outstanding at December 31, 2017 and 2018,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respectively; 54,224,993 shares issued and outstanding at December 31, 2018, pro</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forma (unaudited)</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300"/>
              <w:spacing w:after="0"/>
              <w:rPr>
                <w:sz w:val="20"/>
                <w:szCs w:val="20"/>
                <w:color w:val="auto"/>
              </w:rPr>
            </w:pPr>
            <w:r>
              <w:rPr>
                <w:rFonts w:ascii="Arial" w:cs="Arial" w:eastAsia="Arial" w:hAnsi="Arial"/>
                <w:sz w:val="16"/>
                <w:szCs w:val="16"/>
                <w:color w:val="auto"/>
              </w:rPr>
              <w:t>Additional paid-in capital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26,147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39,258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334,283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(431)</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(146,700)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(147,193)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(147,193)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equity (deficit)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(120,978)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(108,195)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186,877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gridSpan w:val="2"/>
          </w:tcPr>
          <w:p>
            <w:pPr>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248,941</w:t>
            </w:r>
          </w:p>
        </w:tc>
        <w:tc>
          <w:tcPr>
            <w:tcW w:w="260" w:type="dxa"/>
            <w:vAlign w:val="bottom"/>
          </w:tcPr>
          <w:p>
            <w:pPr>
              <w:spacing w:after="0"/>
              <w:rPr>
                <w:sz w:val="17"/>
                <w:szCs w:val="17"/>
                <w:color w:val="auto"/>
              </w:rPr>
            </w:pPr>
          </w:p>
        </w:tc>
        <w:tc>
          <w:tcPr>
            <w:tcW w:w="4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246,085</w:t>
            </w:r>
          </w:p>
        </w:tc>
        <w:tc>
          <w:tcPr>
            <w:tcW w:w="2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186,877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 party revenue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77,141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108,665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79,736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112,979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8"/>
              <w:spacing w:after="0"/>
              <w:rPr>
                <w:sz w:val="20"/>
                <w:szCs w:val="20"/>
                <w:color w:val="auto"/>
              </w:rPr>
            </w:pPr>
            <w:r>
              <w:rPr>
                <w:rFonts w:ascii="Arial" w:cs="Arial" w:eastAsia="Arial" w:hAnsi="Arial"/>
                <w:sz w:val="18"/>
                <w:szCs w:val="18"/>
                <w:color w:val="auto"/>
              </w:rPr>
              <w:t>(17,425)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(152)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(15,219)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(1,060)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(14,159)</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7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(2.37)</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to compute net loss per common share, basic and diluted</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5,961,767</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6,383,751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 basic and diluted</w:t>
            </w: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520"/>
              <w:spacing w:after="0" w:line="203" w:lineRule="exact"/>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 per common share, basic and</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 (unaudited)</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53,651,217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$(14,159)</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$(493)</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tcPr>
          <w:p>
            <w:pPr>
              <w:spacing w:after="0" w:line="202" w:lineRule="exact"/>
              <w:rPr>
                <w:sz w:val="20"/>
                <w:szCs w:val="20"/>
                <w:color w:val="auto"/>
              </w:rPr>
            </w:pPr>
            <w:r>
              <w:rPr>
                <w:rFonts w:ascii="Arial" w:cs="Arial" w:eastAsia="Arial" w:hAnsi="Arial"/>
                <w:sz w:val="18"/>
                <w:szCs w:val="18"/>
                <w:color w:val="auto"/>
              </w:rPr>
              <w:t>Other comprehensive gain (loss), net of tax:</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unrealized gain (loss) on available-for-sale marketable securities</w:t>
            </w:r>
          </w:p>
        </w:tc>
        <w:tc>
          <w:tcPr>
            <w:tcW w:w="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(329)</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(14,488)</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w:t>
            </w: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CONSOLIDATED STATEMENTS OF CONVERTIBLE PREFERRED STOCK AND STOCKHOLDERS’ DEFICIT</w:t>
      </w: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180"/>
          </w:cols>
          <w:pgMar w:left="240" w:top="460" w:right="479" w:bottom="1440" w:gutter="0" w:footer="0" w:header="0"/>
        </w:sectPr>
      </w:pP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1180" w:type="dxa"/>
            <w:vAlign w:val="bottom"/>
            <w:gridSpan w:val="3"/>
          </w:tcPr>
          <w:p>
            <w:pPr>
              <w:jc w:val="right"/>
              <w:ind w:right="213"/>
              <w:spacing w:after="0"/>
              <w:rPr>
                <w:sz w:val="20"/>
                <w:szCs w:val="20"/>
                <w:color w:val="auto"/>
              </w:rPr>
            </w:pPr>
            <w:r>
              <w:rPr>
                <w:rFonts w:ascii="Arial" w:cs="Arial" w:eastAsia="Arial" w:hAnsi="Arial"/>
                <w:sz w:val="12"/>
                <w:szCs w:val="12"/>
                <w:b w:val="1"/>
                <w:bCs w:val="1"/>
                <w:color w:val="auto"/>
              </w:rPr>
              <w:t>Convertible</w:t>
            </w: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29"/>
        </w:trPr>
        <w:tc>
          <w:tcPr>
            <w:tcW w:w="4360" w:type="dxa"/>
            <w:vAlign w:val="bottom"/>
            <w:vMerge w:val="restart"/>
          </w:tcPr>
          <w:p>
            <w:pPr>
              <w:spacing w:after="0"/>
              <w:rPr>
                <w:sz w:val="20"/>
                <w:szCs w:val="20"/>
                <w:color w:val="auto"/>
              </w:rPr>
            </w:pPr>
            <w:r>
              <w:rPr>
                <w:rFonts w:ascii="Arial" w:cs="Arial" w:eastAsia="Arial" w:hAnsi="Arial"/>
                <w:sz w:val="14"/>
                <w:szCs w:val="14"/>
                <w:color w:val="auto"/>
              </w:rPr>
              <w:t>Balance at December 31, 2016</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9"/>
              </w:rPr>
              <w:t>Shares</w:t>
            </w:r>
          </w:p>
        </w:tc>
        <w:tc>
          <w:tcPr>
            <w:tcW w:w="140" w:type="dxa"/>
            <w:vAlign w:val="bottom"/>
          </w:tcPr>
          <w:p>
            <w:pPr>
              <w:spacing w:after="0"/>
              <w:rPr>
                <w:sz w:val="11"/>
                <w:szCs w:val="11"/>
                <w:color w:val="auto"/>
              </w:rPr>
            </w:pPr>
          </w:p>
        </w:tc>
        <w:tc>
          <w:tcPr>
            <w:tcW w:w="580" w:type="dxa"/>
            <w:vAlign w:val="bottom"/>
            <w:tcBorders>
              <w:bottom w:val="single" w:sz="8" w:color="auto"/>
            </w:tcBorders>
          </w:tcPr>
          <w:p>
            <w:pPr>
              <w:jc w:val="right"/>
              <w:ind w:right="13"/>
              <w:spacing w:after="0" w:line="129" w:lineRule="exact"/>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41"/>
        </w:trPr>
        <w:tc>
          <w:tcPr>
            <w:tcW w:w="4360" w:type="dxa"/>
            <w:vAlign w:val="bottom"/>
            <w:vMerge w:val="continue"/>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4"/>
                <w:szCs w:val="14"/>
                <w:color w:val="auto"/>
              </w:rPr>
              <w:t>47,267</w:t>
            </w:r>
          </w:p>
        </w:tc>
        <w:tc>
          <w:tcPr>
            <w:tcW w:w="14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w w:val="86"/>
              </w:rPr>
              <w:t>$ 294,874</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Issuance of common stock to participants in 401(k) Matching</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400"/>
              <w:spacing w:after="0" w:line="149" w:lineRule="exact"/>
              <w:rPr>
                <w:sz w:val="20"/>
                <w:szCs w:val="20"/>
                <w:color w:val="auto"/>
              </w:rPr>
            </w:pPr>
            <w:r>
              <w:rPr>
                <w:rFonts w:ascii="Arial" w:cs="Arial" w:eastAsia="Arial" w:hAnsi="Arial"/>
                <w:sz w:val="14"/>
                <w:szCs w:val="14"/>
                <w:color w:val="auto"/>
              </w:rPr>
              <w:t>Plan</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Vesting of common stock from early exercises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Changes in unrealized gain on available-for-sale securities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60" w:type="dxa"/>
            <w:vAlign w:val="bottom"/>
          </w:tcPr>
          <w:p>
            <w:pPr>
              <w:spacing w:after="0" w:line="155" w:lineRule="exact"/>
              <w:rPr>
                <w:sz w:val="20"/>
                <w:szCs w:val="20"/>
                <w:color w:val="auto"/>
              </w:rPr>
            </w:pPr>
            <w:r>
              <w:rPr>
                <w:rFonts w:ascii="Arial" w:cs="Arial" w:eastAsia="Arial" w:hAnsi="Arial"/>
                <w:sz w:val="14"/>
                <w:szCs w:val="14"/>
                <w:color w:val="auto"/>
              </w:rPr>
              <w:t>Balance at December 31, 2017</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47,267</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294,874</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Issuance of common stock to participants in 401(k) Matching</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400"/>
              <w:spacing w:after="0" w:line="149" w:lineRule="exact"/>
              <w:rPr>
                <w:sz w:val="20"/>
                <w:szCs w:val="20"/>
                <w:color w:val="auto"/>
              </w:rPr>
            </w:pPr>
            <w:r>
              <w:rPr>
                <w:rFonts w:ascii="Arial" w:cs="Arial" w:eastAsia="Arial" w:hAnsi="Arial"/>
                <w:sz w:val="14"/>
                <w:szCs w:val="14"/>
                <w:color w:val="auto"/>
              </w:rPr>
              <w:t>Plan</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Vesting of common stock from early exercises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Repurchase of common stock</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Changes in unrealized gain on available-for-sale securities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360" w:type="dxa"/>
            <w:vAlign w:val="bottom"/>
          </w:tcPr>
          <w:p>
            <w:pPr>
              <w:spacing w:after="0" w:line="155" w:lineRule="exact"/>
              <w:rPr>
                <w:sz w:val="20"/>
                <w:szCs w:val="20"/>
                <w:color w:val="auto"/>
              </w:rPr>
            </w:pPr>
            <w:r>
              <w:rPr>
                <w:rFonts w:ascii="Arial" w:cs="Arial" w:eastAsia="Arial" w:hAnsi="Arial"/>
                <w:sz w:val="14"/>
                <w:szCs w:val="14"/>
                <w:color w:val="auto"/>
              </w:rPr>
              <w:t>Balance at December 31, 2018</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47,267</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294,874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-2032000</wp:posOffset>
            </wp:positionV>
            <wp:extent cx="6997700" cy="2040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7700" cy="2040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80" w:type="dxa"/>
            <w:vAlign w:val="bottom"/>
            <w:gridSpan w:val="5"/>
            <w:vMerge w:val="restart"/>
          </w:tcPr>
          <w:p>
            <w:pPr>
              <w:jc w:val="right"/>
              <w:ind w:right="52"/>
              <w:spacing w:after="0"/>
              <w:rPr>
                <w:sz w:val="20"/>
                <w:szCs w:val="20"/>
                <w:color w:val="auto"/>
              </w:rPr>
            </w:pPr>
            <w:r>
              <w:rPr>
                <w:rFonts w:ascii="Arial" w:cs="Arial" w:eastAsia="Arial" w:hAnsi="Arial"/>
                <w:sz w:val="12"/>
                <w:szCs w:val="12"/>
                <w:b w:val="1"/>
                <w:bCs w:val="1"/>
                <w:color w:val="auto"/>
              </w:rPr>
              <w:t>Common Stock</w:t>
            </w:r>
          </w:p>
        </w:tc>
        <w:tc>
          <w:tcPr>
            <w:tcW w:w="960" w:type="dxa"/>
            <w:vAlign w:val="bottom"/>
            <w:gridSpan w:val="4"/>
          </w:tcPr>
          <w:p>
            <w:pPr>
              <w:ind w:left="22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Borders>
              <w:bottom w:val="single" w:sz="8" w:color="auto"/>
            </w:tcBorders>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60"/>
              <w:spacing w:after="0" w:line="133" w:lineRule="exact"/>
              <w:rPr>
                <w:sz w:val="20"/>
                <w:szCs w:val="20"/>
                <w:color w:val="auto"/>
              </w:rPr>
            </w:pPr>
            <w:r>
              <w:rPr>
                <w:rFonts w:ascii="Arial" w:cs="Arial" w:eastAsia="Arial" w:hAnsi="Arial"/>
                <w:sz w:val="12"/>
                <w:szCs w:val="12"/>
                <w:b w:val="1"/>
                <w:bCs w:val="1"/>
                <w:color w:val="auto"/>
                <w:w w:val="94"/>
              </w:rPr>
              <w:t>Paid-In</w:t>
            </w:r>
          </w:p>
        </w:tc>
        <w:tc>
          <w:tcPr>
            <w:tcW w:w="1140" w:type="dxa"/>
            <w:vAlign w:val="bottom"/>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w w:val="97"/>
              </w:rPr>
              <w:t>Comprehensive</w:t>
            </w:r>
          </w:p>
        </w:tc>
        <w:tc>
          <w:tcPr>
            <w:tcW w:w="10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Accumulated</w:t>
            </w:r>
          </w:p>
        </w:tc>
        <w:tc>
          <w:tcPr>
            <w:tcW w:w="94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w w:val="95"/>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w w:val="84"/>
              </w:rPr>
              <w:t>Shares</w:t>
            </w:r>
          </w:p>
        </w:tc>
        <w:tc>
          <w:tcPr>
            <w:tcW w:w="120" w:type="dxa"/>
            <w:vAlign w:val="bottom"/>
          </w:tcPr>
          <w:p>
            <w:pPr>
              <w:spacing w:after="0"/>
              <w:rPr>
                <w:sz w:val="11"/>
                <w:szCs w:val="11"/>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40"/>
              <w:spacing w:after="0" w:line="129" w:lineRule="exact"/>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360"/>
              <w:spacing w:after="0" w:line="129" w:lineRule="exact"/>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w w:val="96"/>
              </w:rPr>
              <w:t>5,802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line="156"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17,575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(102)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(132,541)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(115,062)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3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7,624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(14,159)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6,105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26,147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(146,700)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(120,978)</w:t>
            </w:r>
          </w:p>
        </w:tc>
        <w:tc>
          <w:tcPr>
            <w:tcW w:w="0" w:type="dxa"/>
            <w:vAlign w:val="bottom"/>
          </w:tcPr>
          <w:p>
            <w:pPr>
              <w:spacing w:after="0"/>
              <w:rPr>
                <w:sz w:val="1"/>
                <w:szCs w:val="1"/>
                <w:color w:val="auto"/>
              </w:rPr>
            </w:pPr>
          </w:p>
        </w:tc>
      </w:tr>
      <w:tr>
        <w:trPr>
          <w:trHeight w:val="283"/>
        </w:trPr>
        <w:tc>
          <w:tcPr>
            <w:tcW w:w="3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9,859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9,859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6,733</w:t>
            </w:r>
          </w:p>
        </w:tc>
        <w:tc>
          <w:tcPr>
            <w:tcW w:w="160" w:type="dxa"/>
            <w:vAlign w:val="bottom"/>
          </w:tcPr>
          <w:p>
            <w:pPr>
              <w:spacing w:after="0"/>
              <w:rPr>
                <w:sz w:val="13"/>
                <w:szCs w:val="13"/>
                <w:color w:val="auto"/>
              </w:rPr>
            </w:pPr>
          </w:p>
        </w:tc>
        <w:tc>
          <w:tcPr>
            <w:tcW w:w="300" w:type="dxa"/>
            <w:vAlign w:val="bottom"/>
            <w:gridSpan w:val="2"/>
          </w:tcPr>
          <w:p>
            <w:pPr>
              <w:jc w:val="right"/>
              <w:ind w:right="65"/>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7</w:t>
            </w:r>
          </w:p>
        </w:tc>
        <w:tc>
          <w:tcPr>
            <w:tcW w:w="300" w:type="dxa"/>
            <w:vAlign w:val="bottom"/>
            <w:gridSpan w:val="2"/>
          </w:tcPr>
          <w:p>
            <w:pPr>
              <w:ind w:left="22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39,258</w:t>
            </w:r>
          </w:p>
        </w:tc>
        <w:tc>
          <w:tcPr>
            <w:tcW w:w="160" w:type="dxa"/>
            <w:vAlign w:val="bottom"/>
          </w:tcPr>
          <w:p>
            <w:pPr>
              <w:spacing w:after="0"/>
              <w:rPr>
                <w:sz w:val="13"/>
                <w:szCs w:val="13"/>
                <w:color w:val="auto"/>
              </w:rPr>
            </w:pPr>
          </w:p>
        </w:tc>
        <w:tc>
          <w:tcPr>
            <w:tcW w:w="280" w:type="dxa"/>
            <w:vAlign w:val="bottom"/>
            <w:gridSpan w:val="2"/>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(267)</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(147,193)</w:t>
            </w:r>
          </w:p>
        </w:tc>
        <w:tc>
          <w:tcPr>
            <w:tcW w:w="26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(108,195)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280"/>
            <w:col w:w="5160"/>
          </w:cols>
          <w:pgMar w:left="240" w:top="460" w:right="47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180"/>
          </w:cols>
          <w:pgMar w:left="240" w:top="460" w:right="47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4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(14,159)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6,441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7,223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premium (discount) on marketable securities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7,717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9,962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convertible preferred stock warrant liability</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Other non-cash expenses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700"/>
              <w:spacing w:after="0" w:line="202" w:lineRule="exact"/>
              <w:rPr>
                <w:sz w:val="20"/>
                <w:szCs w:val="20"/>
                <w:color w:val="auto"/>
              </w:rPr>
            </w:pPr>
            <w:r>
              <w:rPr>
                <w:rFonts w:ascii="Arial" w:cs="Arial" w:eastAsia="Arial" w:hAnsi="Arial"/>
                <w:sz w:val="18"/>
                <w:szCs w:val="18"/>
                <w:color w:val="auto"/>
              </w:rPr>
              <w:t>Receivable from related party collaboration</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2,769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Prepaid expenses and other assets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(1,103)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700"/>
              <w:spacing w:after="0" w:line="202" w:lineRule="exact"/>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(4,230)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Accrued expenses and other liabilities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700"/>
              <w:spacing w:after="0" w:line="202" w:lineRule="exact"/>
              <w:rPr>
                <w:sz w:val="20"/>
                <w:szCs w:val="20"/>
                <w:color w:val="auto"/>
              </w:rPr>
            </w:pPr>
            <w:r>
              <w:rPr>
                <w:rFonts w:ascii="Arial" w:cs="Arial" w:eastAsia="Arial" w:hAnsi="Arial"/>
                <w:sz w:val="18"/>
                <w:szCs w:val="18"/>
                <w:color w:val="auto"/>
              </w:rPr>
              <w:t>Deferred rent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(1,256)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Deferred revenue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(16,521)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(17,413)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Purchase of marketable securities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(217,291)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(133,609)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maturities of marketable securities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220,917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178,182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Purchase of property and equipment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(6,422)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1060"/>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(2,796)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Payments of deferred financing costs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Repurchase of common stock</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(19,870)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w:t>
            </w:r>
            <w:r>
              <w:rPr>
                <w:rFonts w:ascii="Arial" w:cs="Arial" w:eastAsia="Arial" w:hAnsi="Arial"/>
                <w:sz w:val="15"/>
                <w:szCs w:val="15"/>
                <w:color w:val="auto"/>
              </w:rPr>
              <w:t>(1)</w:t>
            </w:r>
            <w:r>
              <w:rPr>
                <w:rFonts w:ascii="Arial" w:cs="Arial" w:eastAsia="Arial" w:hAnsi="Arial"/>
                <w:sz w:val="18"/>
                <w:szCs w:val="18"/>
                <w:color w:val="auto"/>
              </w:rPr>
              <w:t xml:space="preserve"> at end of period</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27,842</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taxes paid</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b w:val="1"/>
                <w:bCs w:val="1"/>
                <w:color w:val="auto"/>
              </w:rPr>
              <w:t>Non-cash investing and financing activities: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Vesting of common stock from early exercises</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Cost of property and equipment in accounts payable and accrued liabilities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IPO costs in accounts payable and accrued liabilities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40" w:hanging="536"/>
        <w:spacing w:after="0"/>
        <w:tabs>
          <w:tab w:leader="none" w:pos="7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restricted cash of $2,249 included in the consolidated balance sheets at December 31, 2017 and 2018</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6"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NGM Biopharmaceuticals, Inc. and its wholly 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type 2 diabetes, obesity, oncology and age-related macular degeneration, or AMD.</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w:t>
      </w:r>
    </w:p>
    <w:p>
      <w:pPr>
        <w:ind w:left="200"/>
        <w:spacing w:after="0"/>
        <w:rPr>
          <w:sz w:val="20"/>
          <w:szCs w:val="20"/>
          <w:color w:val="auto"/>
        </w:rPr>
      </w:pPr>
      <w:r>
        <w:rPr>
          <w:rFonts w:ascii="Arial" w:cs="Arial" w:eastAsia="Arial" w:hAnsi="Arial"/>
          <w:sz w:val="18"/>
          <w:szCs w:val="18"/>
          <w:color w:val="auto"/>
        </w:rPr>
        <w:t>South San Francisco, California 94080. The Company operates in one business segment.</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6" w:lineRule="exact"/>
        <w:rPr>
          <w:sz w:val="20"/>
          <w:szCs w:val="20"/>
          <w:color w:val="auto"/>
        </w:rPr>
      </w:pPr>
    </w:p>
    <w:p>
      <w:pPr>
        <w:jc w:val="both"/>
        <w:ind w:left="200" w:right="100" w:firstLine="551"/>
        <w:spacing w:after="0" w:line="261"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Split</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On March 22, 2019, the Company filed an amendment to the Company’s amended and restated certificate of incorporation to effect a reverse split of shares of the Company’s common stock on a one-for-two basis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consolidated financial statements have been retrospectively adjusted to reflect the effect of the Reverse Stock Split for all periods presented.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Stockholders’ Equity and Net Loss per Common Share</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December 31, 2018 unaudited pro forma stockholders’ equity has been prepared assuming upon the closing of the Company’s initial public offering (IPO): (1) the automatic conversion of all outstanding shares of convertible preferred stock into shares of common stock and (2) the conversion of the warrant exercisable for convertible preferred stock outstanding as of December 31, 2018 into a warrant exercisable for shares of common stock, resulting in the reclassification of the related convertible preferred stock warrant liability to additional paid-in capital. All warrants for preferred stock will automatically net exercise into 16,380 shares of Series A Preferred stock on February 3, 2019. The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unaudited pro forma stockholders’ equity does not include the shares expected to be sold and related proceeds to be received from the IPO or from the concurrent private placement of shares to Merck Sharp &amp; Dohme Corp. (Merck). For purposes of the pro forma basic and diluted net loss per common share, all shares of convertible preferred stock have been treated as though they had been converted to common stock in all periods in which such shares were outstanding.</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(493)</w:t>
            </w:r>
          </w:p>
        </w:tc>
      </w:tr>
      <w:tr>
        <w:trPr>
          <w:trHeight w:val="20"/>
        </w:trPr>
        <w:tc>
          <w:tcPr>
            <w:tcW w:w="82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8220" w:type="dxa"/>
            <w:vAlign w:val="bottom"/>
            <w:gridSpan w:val="2"/>
          </w:tcPr>
          <w:p>
            <w:pPr>
              <w:spacing w:after="0" w:line="196" w:lineRule="exact"/>
              <w:rPr>
                <w:sz w:val="20"/>
                <w:szCs w:val="20"/>
                <w:color w:val="auto"/>
              </w:rPr>
            </w:pPr>
            <w:r>
              <w:rPr>
                <w:rFonts w:ascii="Arial" w:cs="Arial" w:eastAsia="Arial" w:hAnsi="Arial"/>
                <w:sz w:val="18"/>
                <w:szCs w:val="18"/>
                <w:color w:val="auto"/>
              </w:rPr>
              <w:t>Shares used in computing net loss per share—basic and diluted</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6,383,751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assumed conversion of convertible preferred stock</w:t>
            </w:r>
          </w:p>
        </w:tc>
        <w:tc>
          <w:tcPr>
            <w:tcW w:w="1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47,267,466</w:t>
            </w:r>
          </w:p>
        </w:tc>
        <w:tc>
          <w:tcPr>
            <w:tcW w:w="140" w:type="dxa"/>
            <w:vAlign w:val="bottom"/>
            <w:shd w:val="clear" w:color="auto" w:fill="CCEEFF"/>
          </w:tcPr>
          <w:p>
            <w:pPr>
              <w:spacing w:after="0"/>
              <w:rPr>
                <w:sz w:val="17"/>
                <w:szCs w:val="17"/>
                <w:color w:val="auto"/>
              </w:rPr>
            </w:pPr>
          </w:p>
        </w:tc>
      </w:tr>
      <w:tr>
        <w:trPr>
          <w:trHeight w:val="210"/>
        </w:trPr>
        <w:tc>
          <w:tcPr>
            <w:tcW w:w="8220" w:type="dxa"/>
            <w:vAlign w:val="bottom"/>
            <w:gridSpan w:val="2"/>
          </w:tcPr>
          <w:p>
            <w:pPr>
              <w:spacing w:after="0"/>
              <w:rPr>
                <w:sz w:val="20"/>
                <w:szCs w:val="20"/>
                <w:color w:val="auto"/>
              </w:rPr>
            </w:pPr>
            <w:r>
              <w:rPr>
                <w:rFonts w:ascii="Arial" w:cs="Arial" w:eastAsia="Arial" w:hAnsi="Arial"/>
                <w:sz w:val="18"/>
                <w:szCs w:val="18"/>
                <w:color w:val="auto"/>
              </w:rPr>
              <w:t>Shares used to compute pro forma net loss per share—basic and diluted</w:t>
            </w:r>
          </w:p>
        </w:tc>
        <w:tc>
          <w:tcPr>
            <w:tcW w:w="1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53,651,217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share—basic and diluted</w:t>
            </w:r>
          </w:p>
        </w:tc>
        <w:tc>
          <w:tcPr>
            <w:tcW w:w="1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(0.01)</w:t>
            </w: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and clinical trial accruals.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inception, the Company has incurred net losses and negative cash flow from operations. During the years ended</w:t>
      </w:r>
    </w:p>
    <w:p>
      <w:pPr>
        <w:ind w:left="200"/>
        <w:spacing w:after="0" w:line="234" w:lineRule="auto"/>
        <w:rPr>
          <w:sz w:val="20"/>
          <w:szCs w:val="20"/>
          <w:color w:val="auto"/>
        </w:rPr>
      </w:pPr>
      <w:r>
        <w:rPr>
          <w:rFonts w:ascii="Arial" w:cs="Arial" w:eastAsia="Arial" w:hAnsi="Arial"/>
          <w:sz w:val="18"/>
          <w:szCs w:val="18"/>
          <w:color w:val="auto"/>
        </w:rPr>
        <w:t>December 31, 2017 and 2018, the Company incurred a net loss of $14.2 million and $0.5 million, respectively. At December 31, 2018, the</w:t>
      </w:r>
    </w:p>
    <w:p>
      <w:pPr>
        <w:ind w:left="200"/>
        <w:spacing w:after="0" w:line="235" w:lineRule="auto"/>
        <w:rPr>
          <w:sz w:val="20"/>
          <w:szCs w:val="20"/>
          <w:color w:val="auto"/>
        </w:rPr>
      </w:pPr>
      <w:r>
        <w:rPr>
          <w:rFonts w:ascii="Arial" w:cs="Arial" w:eastAsia="Arial" w:hAnsi="Arial"/>
          <w:sz w:val="18"/>
          <w:szCs w:val="18"/>
          <w:color w:val="auto"/>
        </w:rPr>
        <w:t>Company had an accumulated deficit of $147.2 million and does not expect to experience positive cash flows from operations in the near</w:t>
      </w:r>
    </w:p>
    <w:p>
      <w:pPr>
        <w:ind w:left="200"/>
        <w:spacing w:after="0" w:line="235" w:lineRule="auto"/>
        <w:rPr>
          <w:sz w:val="20"/>
          <w:szCs w:val="20"/>
          <w:color w:val="auto"/>
        </w:rPr>
      </w:pPr>
      <w:r>
        <w:rPr>
          <w:rFonts w:ascii="Arial" w:cs="Arial" w:eastAsia="Arial" w:hAnsi="Arial"/>
          <w:sz w:val="18"/>
          <w:szCs w:val="18"/>
          <w:color w:val="auto"/>
        </w:rPr>
        <w:t>future. The Company had $206.6 million of cash, cash equivalents and marketable securities at December 31, 2018. Based on the</w:t>
      </w:r>
    </w:p>
    <w:p>
      <w:pPr>
        <w:ind w:left="200"/>
        <w:spacing w:after="0" w:line="235" w:lineRule="auto"/>
        <w:rPr>
          <w:sz w:val="20"/>
          <w:szCs w:val="20"/>
          <w:color w:val="auto"/>
        </w:rPr>
      </w:pPr>
      <w:r>
        <w:rPr>
          <w:rFonts w:ascii="Arial" w:cs="Arial" w:eastAsia="Arial" w:hAnsi="Arial"/>
          <w:sz w:val="18"/>
          <w:szCs w:val="18"/>
          <w:color w:val="auto"/>
        </w:rPr>
        <w:t>Company’s business plan, management believes this is sufficient to meet its obligations for at least the next twelve months from the</w:t>
      </w:r>
    </w:p>
    <w:p>
      <w:pPr>
        <w:ind w:left="200"/>
        <w:spacing w:after="0"/>
        <w:rPr>
          <w:sz w:val="20"/>
          <w:szCs w:val="20"/>
          <w:color w:val="auto"/>
        </w:rPr>
      </w:pPr>
      <w:r>
        <w:rPr>
          <w:rFonts w:ascii="Arial" w:cs="Arial" w:eastAsia="Arial" w:hAnsi="Arial"/>
          <w:sz w:val="18"/>
          <w:szCs w:val="18"/>
          <w:color w:val="auto"/>
        </w:rPr>
        <w:t>issuance date of these consolidated financial statements.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26"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Costs incurred in connection with the initial public offering primarily consist of direct incremental legal, printing and accounting fees. Initial public offering costs are capitalized as incurred and will be offset against proceeds upon consummation of this offering. In the event the offering is terminated or abandoned, deferred initial public offering costs will be expensed in the period such determination has been made. As of December 31, 2018 there was $ 2.3 million of deferred initial public offering costs included in other long-term assets on the accompanying consolidated balance sheets. The Company did not incur any initial public offering costs in 2017.</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The carrying amounts of cash and cash equivalents, receivables from collaborations, the related party receivable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consolidated financial statements.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2017 and 2018, cash and cash equivalents consisted of bank deposits and investments in money market funds.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203"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As of December 31, 2017 and 2018, the Company had $2.3 million of restricted cash classified as a non-current asset. The restricted cash serves as collateral for a facility lease entered into in 2015 (Note 7). Restricted cash is classified as current if the collateral will be returned in less than 12 months.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6"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invests in money market funds and marketable securities through custodial relationships with</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major U.S. and Australian banks. Under its investment policy, the Company limits amounts invested in such securities by credit rating, maturity, industry group, investment type and issuer, except for securities issued by the U.S. government. The Company is not exposed to any significant concentrations of credit risk from these financial instruments.</w:t>
      </w:r>
    </w:p>
    <w:p>
      <w:pPr>
        <w:spacing w:after="0" w:line="203"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Receivables and related party receivables from collaborations (Note 6) are typically unsecured. Accordingly, the Company may be exposed to credit risk generally associated with its current collaboration agreement with Merck and any future collaboration agreements with other collaboration partners. To date, the Company has not experienced any losses related to these receivables.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Merck accounted for 100% of the Company’s revenue for the years ended December 31, 2017 and 2018.</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charged to expense as incurred. Costs that improve assets or extend their economic lives are capitalized. Depreciation is recognized using the straight-line method based on an estimated useful life of the asset, which is as follows: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76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3 years</w:t>
            </w: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60" w:type="dxa"/>
            <w:vAlign w:val="bottom"/>
          </w:tcPr>
          <w:p>
            <w:pPr>
              <w:ind w:left="198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w:t>
            </w:r>
          </w:p>
        </w:tc>
        <w:tc>
          <w:tcPr>
            <w:tcW w:w="5760" w:type="dxa"/>
            <w:vAlign w:val="bottom"/>
            <w:shd w:val="clear" w:color="auto" w:fill="CCEEFF"/>
          </w:tcPr>
          <w:p>
            <w:pPr>
              <w:ind w:left="19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26" w:lineRule="exact"/>
        <w:rPr>
          <w:sz w:val="20"/>
          <w:szCs w:val="20"/>
          <w:color w:val="auto"/>
        </w:rPr>
      </w:pPr>
    </w:p>
    <w:p>
      <w:pPr>
        <w:ind w:left="200" w:right="320" w:firstLine="551"/>
        <w:spacing w:after="0" w:line="239" w:lineRule="auto"/>
        <w:rPr>
          <w:sz w:val="20"/>
          <w:szCs w:val="20"/>
          <w:color w:val="auto"/>
        </w:rPr>
      </w:pPr>
      <w:r>
        <w:rPr>
          <w:rFonts w:ascii="Arial" w:cs="Arial" w:eastAsia="Arial" w:hAnsi="Arial"/>
          <w:sz w:val="18"/>
          <w:szCs w:val="18"/>
          <w:color w:val="auto"/>
        </w:rPr>
        <w:t>The Company’s lease agreement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2017 and 2018 and during the twelve months then ended, no revision to the remaining useful lives or write-down of long-lived assets was required.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Convertible Preferred Stock Warrant</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Freestanding warrants to purchase the Company’s convertible preferred stock are classified as a liability on the consolidated balance sheets. The convertible preferred stock warrants are recorded as a liability because the underlying shares of convertible preferred stock are contingently redeemable, which, therefore, may obligate the Company to transfer assets at some point in the future to settle these warrants. As a result, the warrants are subject to remeasurement at each balance sheet date, with changes in estimated fair value recognized as a component of total other income (expense), net in the Company’s consolidated statements of operations. The Company will continue to adjust the liability for changes in estimated fair value until the earlier of exercise or automatic exercise of the warrant upon the completion of a liquidation event or end of the warrant term.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commercialized products. Revenue from research activities earned under collaboration arrangements are recognized when there is persuasive evidence that an arrangement exists, services have been rendered, the price is fixed or determinable and collectability is reasonably assured. Revenue generated from the Company’s collaboration arrangements is not subject to repayment. The Company’s obligations under collaboration agreements may include the transfer of intellectual property rights in the form of licenses, obligations to provide research and development services and obligations to participate on certain development committees with the collaboration party. The Company makes judgments that affect the period over which the Company recognizes revenue. At each reporting period, the Company reviews its estimated period of performance for its collaboration and license revenue based on the progress under the arrangement and accounts for the impact of any changes in estimated periods of performance on a prospective basis. The Company records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4"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the best estimate of selling price for that deliverable. Revenue allocated is then recognized when all of the following criteria are met: persuasive evidence of an arrangement exists; transfer of technology has been completed or services have been rendered; the price to the customer is fixed or determinable and collectability is reasonably assured.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20" w:firstLine="551"/>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2" w:lineRule="exact"/>
        <w:rPr>
          <w:sz w:val="20"/>
          <w:szCs w:val="20"/>
          <w:color w:val="auto"/>
        </w:rPr>
      </w:pPr>
    </w:p>
    <w:p>
      <w:pPr>
        <w:ind w:left="200" w:right="40" w:firstLine="4"/>
        <w:spacing w:after="0" w:line="236" w:lineRule="auto"/>
        <w:tabs>
          <w:tab w:leader="none" w:pos="4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Company’s performance or (2) on the occurrence of a specific outcome resulting from the Company’s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the Company has remaining performance obligations, payments in respect of such milestones are deferred and recognized as revenue over the estimated remaining period of performance. If there were no remaining performance obligations, the Company would recognize the revenue in the period it is earned.</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Payments related to options to license the Company’s program candidates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w:t>
      </w:r>
    </w:p>
    <w:p>
      <w:pPr>
        <w:spacing w:after="0" w:line="207"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Revenue related to research collaboration services and grants are recognized as research costs are incurred and/or the underlying services are performed over the term as specified in the related agreements.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3"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 uses information it receives from internal personnel and outside service providers to estimate the clinical trial costs incurred.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left="200" w:right="20" w:firstLine="551"/>
        <w:spacing w:after="0" w:line="234" w:lineRule="auto"/>
        <w:rPr>
          <w:sz w:val="20"/>
          <w:szCs w:val="20"/>
          <w:color w:val="auto"/>
        </w:rPr>
      </w:pPr>
      <w:r>
        <w:rPr>
          <w:rFonts w:ascii="Arial" w:cs="Arial" w:eastAsia="Arial" w:hAnsi="Arial"/>
          <w:sz w:val="18"/>
          <w:szCs w:val="18"/>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w:t>
      </w:r>
    </w:p>
    <w:p>
      <w:pPr>
        <w:spacing w:after="0" w:line="2" w:lineRule="exact"/>
        <w:rPr>
          <w:sz w:val="20"/>
          <w:szCs w:val="20"/>
          <w:color w:val="auto"/>
        </w:rPr>
      </w:pPr>
    </w:p>
    <w:p>
      <w:pPr>
        <w:jc w:val="both"/>
        <w:ind w:left="200" w:right="140"/>
        <w:spacing w:after="0"/>
        <w:rPr>
          <w:sz w:val="20"/>
          <w:szCs w:val="20"/>
          <w:color w:val="auto"/>
        </w:rPr>
      </w:pPr>
      <w:r>
        <w:rPr>
          <w:rFonts w:ascii="Arial" w:cs="Arial" w:eastAsia="Arial" w:hAnsi="Arial"/>
          <w:sz w:val="18"/>
          <w:szCs w:val="18"/>
          <w:color w:val="auto"/>
        </w:rPr>
        <w:t>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functional currency of NGM Biopharmaceuticals Australia Pty Ltd., a wholly 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During the years ended December 31, 2017 and 2018, the Company recorded a foreign exchange remeasurement loss of $0.1 million and gain of $0.2 million, respectively.</w:t>
      </w:r>
    </w:p>
    <w:p>
      <w:pPr>
        <w:spacing w:after="0" w:line="205"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and the Euro. Payments on contracts denominated in foreign currencies are made at the spot rate on the day of payment. Changes in the exchange rate between billing dates and payment dates are recorded to other income (expense), net on the consolidated statements of operations. During the years ended December 31, 2017 and 2018, the Company recorded a foreign exchange transaction gain of $37,000 and loss of $31,000,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jc w:val="both"/>
        <w:ind w:left="200" w:right="280" w:firstLine="551"/>
        <w:spacing w:after="0"/>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years ended December 31, 2017 and 2018, the difference between comprehensive loss and net loss consisted of changes in net unrealized loss on marketable securities of $0.3 million, and changes in net unrealized gain on marketable securities of $0.2 million,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6"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years ended December 31, 2017 and 2018, all potential common shares were determined to be anti-dilutive.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8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7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340"/>
              <w:spacing w:after="0" w:line="202" w:lineRule="exact"/>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(14,159)</w:t>
            </w: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(493)</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340"/>
              <w:spacing w:after="0" w:line="201" w:lineRule="exact"/>
              <w:rPr>
                <w:sz w:val="20"/>
                <w:szCs w:val="20"/>
                <w:color w:val="auto"/>
              </w:rPr>
            </w:pPr>
            <w:r>
              <w:rPr>
                <w:rFonts w:ascii="Arial" w:cs="Arial" w:eastAsia="Arial" w:hAnsi="Arial"/>
                <w:sz w:val="18"/>
                <w:szCs w:val="18"/>
                <w:color w:val="auto"/>
              </w:rPr>
              <w:t>Weighted-average number of common shares used in calculating net income per share—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80" w:type="dxa"/>
            <w:vAlign w:val="bottom"/>
          </w:tcPr>
          <w:p>
            <w:pPr>
              <w:ind w:left="520"/>
              <w:spacing w:after="0" w:line="203" w:lineRule="exact"/>
              <w:rPr>
                <w:sz w:val="20"/>
                <w:szCs w:val="20"/>
                <w:color w:val="auto"/>
              </w:rPr>
            </w:pPr>
            <w:r>
              <w:rPr>
                <w:rFonts w:ascii="Arial" w:cs="Arial" w:eastAsia="Arial" w:hAnsi="Arial"/>
                <w:sz w:val="18"/>
                <w:szCs w:val="18"/>
                <w:color w:val="auto"/>
              </w:rPr>
              <w:t>basic and diluted</w:t>
            </w: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5,961,767</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6,383,751</w:t>
            </w:r>
          </w:p>
        </w:tc>
        <w:tc>
          <w:tcPr>
            <w:tcW w:w="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(2.37)</w:t>
            </w:r>
          </w:p>
        </w:tc>
        <w:tc>
          <w:tcPr>
            <w:tcW w:w="4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(0.08)</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20" w:firstLine="551"/>
        <w:spacing w:after="0" w:line="246"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040" w:type="dxa"/>
            <w:vAlign w:val="bottom"/>
            <w:tcBorders>
              <w:top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2017</w:t>
            </w:r>
          </w:p>
        </w:tc>
        <w:tc>
          <w:tcPr>
            <w:tcW w:w="1320" w:type="dxa"/>
            <w:vAlign w:val="bottom"/>
            <w:tcBorders>
              <w:top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8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47,267,466</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47,267,466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8,468,702</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9,806,689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19,637</w:t>
            </w:r>
          </w:p>
        </w:tc>
        <w:tc>
          <w:tcPr>
            <w:tcW w:w="26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19,637</w:t>
            </w:r>
          </w:p>
        </w:tc>
        <w:tc>
          <w:tcPr>
            <w:tcW w:w="80" w:type="dxa"/>
            <w:vAlign w:val="bottom"/>
            <w:shd w:val="clear" w:color="auto" w:fill="CCEEFF"/>
          </w:tcPr>
          <w:p>
            <w:pPr>
              <w:spacing w:after="0"/>
              <w:rPr>
                <w:sz w:val="17"/>
                <w:szCs w:val="17"/>
                <w:color w:val="auto"/>
              </w:rPr>
            </w:pPr>
          </w:p>
        </w:tc>
      </w:tr>
      <w:tr>
        <w:trPr>
          <w:trHeight w:val="210"/>
        </w:trPr>
        <w:tc>
          <w:tcPr>
            <w:tcW w:w="8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55,755,805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57,093,792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6"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years ended December 31, 2017 and 2018, the Company’s revenues were entirely within the United States based upon the location of the customers.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ind w:left="200" w:right="260" w:firstLine="551"/>
        <w:spacing w:after="0"/>
        <w:rPr>
          <w:sz w:val="20"/>
          <w:szCs w:val="20"/>
          <w:color w:val="auto"/>
        </w:rPr>
      </w:pPr>
      <w:r>
        <w:rPr>
          <w:rFonts w:ascii="Arial" w:cs="Arial" w:eastAsia="Arial" w:hAnsi="Arial"/>
          <w:sz w:val="18"/>
          <w:szCs w:val="18"/>
          <w:color w:val="auto"/>
        </w:rPr>
        <w:t xml:space="preserve">In November 2015, the Financial Accounting Standards Board (FASB) issued Accounting Standards Update (ASU) No. 2015-17, </w:t>
      </w:r>
      <w:r>
        <w:rPr>
          <w:rFonts w:ascii="Arial" w:cs="Arial" w:eastAsia="Arial" w:hAnsi="Arial"/>
          <w:sz w:val="18"/>
          <w:szCs w:val="18"/>
          <w:i w:val="1"/>
          <w:iCs w:val="1"/>
          <w:color w:val="auto"/>
        </w:rPr>
        <w:t xml:space="preserve">Income Taxes (Topic 740)—Balance Sheet Classification of Deferred Taxes </w:t>
      </w:r>
      <w:r>
        <w:rPr>
          <w:rFonts w:ascii="Arial" w:cs="Arial" w:eastAsia="Arial" w:hAnsi="Arial"/>
          <w:sz w:val="18"/>
          <w:szCs w:val="18"/>
          <w:color w:val="auto"/>
        </w:rPr>
        <w:t>(ASU 2015-17). This ASU simplifies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income taxes by requiring non-current classification in a classified statement of financial position. ASU 2015-17 is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59" w:right="4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effective for financial statements issued for fiscal years beginning after December 15, 2017. ASU 2015-17 may be either applied prospectively to all deferred tax assets and liabilities or retrospectively to all periods presented. The Company adopted ASU 2015-17 as of December 31, 2017; however, there was no impact on the Company’s consolidated financial statements as a result of adopting ASU 2015-17.</w:t>
      </w:r>
    </w:p>
    <w:p>
      <w:pPr>
        <w:spacing w:after="0" w:line="184"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Based Payment Accounting </w:t>
      </w:r>
      <w:r>
        <w:rPr>
          <w:rFonts w:ascii="Arial" w:cs="Arial" w:eastAsia="Arial" w:hAnsi="Arial"/>
          <w:sz w:val="18"/>
          <w:szCs w:val="18"/>
          <w:color w:val="auto"/>
        </w:rPr>
        <w:t>as part of the FASB simplification initiative.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and recorded a $5.2 million increase to net operating loss deferred tax asset and a corresponding $5.2 million increase in valuation allowance.</w:t>
      </w:r>
    </w:p>
    <w:p>
      <w:pPr>
        <w:spacing w:after="0" w:line="185" w:lineRule="exact"/>
        <w:rPr>
          <w:sz w:val="20"/>
          <w:szCs w:val="20"/>
          <w:color w:val="auto"/>
        </w:rPr>
      </w:pPr>
    </w:p>
    <w:p>
      <w:pPr>
        <w:ind w:left="200" w:right="20" w:firstLine="551"/>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181"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elected to early adopt this ASU using the retrospective transition method to each period presented having no effect within the classification of its consolidated statements of cash flows due to there being no changes in the Company’s restricted cash balances for any of the years presented.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8"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annual reporting periods beginning after December 15, 2018 and interim periods beginning after December 15, 2019 using one of two retrospective application methods. The Company has engaged outside advisors to assist in analyzing its research collaboration, product development and license agreement with Merck to determine the differences in the accounting treatment under ASU 2014-09 compared to the current accounting treatment. The consideration the Company is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The company currently anticipates adopting the new standard effective January 1, 2019 under the modified retrospective method.</w:t>
      </w:r>
    </w:p>
    <w:p>
      <w:pPr>
        <w:spacing w:after="0" w:line="18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increases lease transparency and comparability among organizations. Under the new standard, lessees will be required to recognize all assets and liabilities arising from leases on the balance sheet, with the exception of leases with a term of 12 months or less, which permits a lessee to make an accounting policy election by class of underlying asset not to recognize lease assets and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The Company is currently assessing the timing of adoption and the impact that the adoption of ASU 2016-02 will have on its consolidated financial statements and related disclosures.</w:t>
      </w:r>
    </w:p>
    <w:p>
      <w:pPr>
        <w:spacing w:after="0" w:line="188" w:lineRule="exact"/>
        <w:rPr>
          <w:sz w:val="20"/>
          <w:szCs w:val="20"/>
          <w:color w:val="auto"/>
        </w:rPr>
      </w:pPr>
    </w:p>
    <w:p>
      <w:pPr>
        <w:ind w:left="200" w:right="160" w:firstLine="551"/>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timing of adoption and the impact that the adoption of ASU 2018-07 will have on its consolidated financial statements and related disclosures.</w:t>
      </w:r>
    </w:p>
    <w:p>
      <w:pPr>
        <w:spacing w:after="0" w:line="184"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Measurements (Topic 820)</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Framework</w:t>
      </w:r>
      <w:r>
        <w:rPr>
          <w:rFonts w:ascii="Arial" w:cs="Arial" w:eastAsia="Arial" w:hAnsi="Arial"/>
          <w:sz w:val="18"/>
          <w:szCs w:val="18"/>
          <w:color w:val="auto"/>
        </w:rPr>
        <w:t xml:space="preserve"> – </w:t>
      </w:r>
      <w:r>
        <w:rPr>
          <w:rFonts w:ascii="Arial" w:cs="Arial" w:eastAsia="Arial" w:hAnsi="Arial"/>
          <w:sz w:val="18"/>
          <w:szCs w:val="18"/>
          <w:i w:val="1"/>
          <w:iCs w:val="1"/>
          <w:color w:val="auto"/>
        </w:rPr>
        <w:t>Changes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Disclosure Requirements for Fair Value Measurement </w:t>
      </w:r>
      <w:r>
        <w:rPr>
          <w:rFonts w:ascii="Arial" w:cs="Arial" w:eastAsia="Arial" w:hAnsi="Arial"/>
          <w:sz w:val="18"/>
          <w:szCs w:val="18"/>
          <w:color w:val="auto"/>
        </w:rPr>
        <w:t>as part of the FASB’s disclosure framework project. This ASU modifies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on fair value measurements in Topic 820, Fair Value Measurement by removing the requirement to disclose amounts of and reasons for transfers between Level 1 and Level 2 of the fair value hierarchy, the policy for timing of transfers between levels, and the valuation process for Level 3 fair value measurements. This ASU also modifies existing disclosure requirements by clarifying that the measurement uncertainty disclosure is to communicate information about the uncertainty in measurement as of the reporting date, and it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This ASU will be effective for the Company for fiscal years and interim periods within those fiscal years, beginning after December 15, 2019. The Company is currently assessing the impact of this ASU on its consolidated financial statements.</w:t>
      </w:r>
    </w:p>
    <w:p>
      <w:pPr>
        <w:spacing w:after="0" w:line="187" w:lineRule="exact"/>
        <w:rPr>
          <w:sz w:val="20"/>
          <w:szCs w:val="20"/>
          <w:color w:val="auto"/>
        </w:rPr>
      </w:pPr>
    </w:p>
    <w:p>
      <w:pPr>
        <w:jc w:val="both"/>
        <w:ind w:left="200" w:right="40" w:firstLine="551"/>
        <w:spacing w:after="0" w:line="251"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Interaction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808 and Topic 606</w:t>
      </w:r>
      <w:r>
        <w:rPr>
          <w:rFonts w:ascii="Arial" w:cs="Arial" w:eastAsia="Arial" w:hAnsi="Arial"/>
          <w:sz w:val="18"/>
          <w:szCs w:val="18"/>
          <w:color w:val="auto"/>
        </w:rPr>
        <w:t>, which clarifies that certain transactions between collaborative arrangement participants should be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as revenue under Topic 606</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when then collaborative arrangement participant is a customer in the context of a unit of account. In those situations, all the guidance in Topic 606 should be applied, including recognition, measurement, presentation, and disclosure requirements. This ASU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consolidated financial statements.</w:t>
      </w:r>
    </w:p>
    <w:p>
      <w:pPr>
        <w:spacing w:after="0" w:line="208"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The new guidance amended guidance on reporting credit losses for assets held at amortized cost basis and available for sale debt securities. For available for sale debt securities, credit losses will be presented as an allowance rather than as a write-down. This standard is effective for the Company’s fiscal year beginning after December 31, 2020. Early adoption is permitted for all entities. The Company is currently assessing the timing of adoption and the impact that the adoption of ASU 2016-13 will have on its consolidated financial statements and related disclosures.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Measurements</w:t>
      </w:r>
    </w:p>
    <w:p>
      <w:pPr>
        <w:spacing w:after="0" w:line="126"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205"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108" w:lineRule="exact"/>
        <w:rPr>
          <w:sz w:val="20"/>
          <w:szCs w:val="20"/>
          <w:color w:val="auto"/>
        </w:rPr>
      </w:pPr>
    </w:p>
    <w:p>
      <w:pPr>
        <w:ind w:left="740"/>
        <w:spacing w:after="0"/>
        <w:tabs>
          <w:tab w:leader="none" w:pos="1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ind w:left="1740" w:right="200" w:hanging="985"/>
        <w:spacing w:after="0"/>
        <w:tabs>
          <w:tab w:leader="none" w:pos="1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8" w:lineRule="exact"/>
        <w:rPr>
          <w:sz w:val="20"/>
          <w:szCs w:val="20"/>
          <w:color w:val="auto"/>
        </w:rPr>
      </w:pPr>
    </w:p>
    <w:p>
      <w:pPr>
        <w:ind w:left="1740" w:right="400" w:hanging="985"/>
        <w:spacing w:after="0" w:line="246" w:lineRule="auto"/>
        <w:tabs>
          <w:tab w:leader="none" w:pos="1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97"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240" w:top="460"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3"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5"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Cash equivalents and marketable securities, all of which are classified as available-for-sale securities consisted of the following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At December 31, 2017</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97"/>
              <w:spacing w:after="0" w:line="143" w:lineRule="exact"/>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56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Gain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93,025</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92,724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34,393</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66,256</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66,125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211,937</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211,505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148,092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marketable securities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211,505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gridSpan w:val="2"/>
            <w:vMerge w:val="restart"/>
          </w:tcPr>
          <w:p>
            <w:pPr>
              <w:jc w:val="right"/>
              <w:ind w:right="659"/>
              <w:spacing w:after="0"/>
              <w:rPr>
                <w:sz w:val="20"/>
                <w:szCs w:val="20"/>
                <w:color w:val="auto"/>
              </w:rPr>
            </w:pPr>
            <w:r>
              <w:rPr>
                <w:rFonts w:ascii="Arial" w:cs="Arial" w:eastAsia="Arial" w:hAnsi="Arial"/>
                <w:sz w:val="18"/>
                <w:szCs w:val="18"/>
                <w:color w:val="auto"/>
              </w:rPr>
              <w:t>F-19</w:t>
            </w: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At December 31, 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97"/>
              <w:spacing w:after="0" w:line="143" w:lineRule="exact"/>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20"/>
              <w:spacing w:after="0" w:line="143"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Gain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34,983</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34,983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68,323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68,082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17,904</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63,751</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63,725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184,961</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(267)</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184,694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149,710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marketable securities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Cash and cash equivalents in the table above excludes cash on deposit with banks of $7.3 million as of December 31, 2017 and $21.9 million as of December 31, 2018.</w:t>
      </w:r>
    </w:p>
    <w:p>
      <w:pPr>
        <w:spacing w:after="0" w:line="197"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As of December 31, 2017 and 2018, the Company’s marketable securities had the following remaining contractual maturities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At December 31, 2017</w:t>
            </w:r>
          </w:p>
        </w:tc>
      </w:tr>
      <w:tr>
        <w:trPr>
          <w:trHeight w:val="156"/>
        </w:trPr>
        <w:tc>
          <w:tcPr>
            <w:tcW w:w="20" w:type="dxa"/>
            <w:vAlign w:val="bottom"/>
          </w:tcPr>
          <w:p>
            <w:pPr>
              <w:spacing w:after="0"/>
              <w:rPr>
                <w:sz w:val="13"/>
                <w:szCs w:val="13"/>
                <w:color w:val="auto"/>
              </w:rPr>
            </w:pPr>
          </w:p>
        </w:tc>
        <w:tc>
          <w:tcPr>
            <w:tcW w:w="4480" w:type="dxa"/>
            <w:vAlign w:val="bottom"/>
            <w:tcBorders>
              <w:bottom w:val="single" w:sz="8" w:color="CCEEFF"/>
            </w:tcBorders>
          </w:tcPr>
          <w:p>
            <w:pPr>
              <w:spacing w:after="0"/>
              <w:rPr>
                <w:sz w:val="13"/>
                <w:szCs w:val="13"/>
                <w:color w:val="auto"/>
              </w:rPr>
            </w:pPr>
          </w:p>
        </w:tc>
        <w:tc>
          <w:tcPr>
            <w:tcW w:w="40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Amortized Cost</w:t>
            </w:r>
          </w:p>
        </w:tc>
        <w:tc>
          <w:tcPr>
            <w:tcW w:w="5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40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148,280</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$148,092</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4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45,394</w:t>
            </w:r>
          </w:p>
        </w:tc>
        <w:tc>
          <w:tcPr>
            <w:tcW w:w="5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45,150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43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193,674</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193,242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At December 31, 2018</w:t>
            </w:r>
          </w:p>
        </w:tc>
      </w:tr>
      <w:tr>
        <w:trPr>
          <w:trHeight w:val="156"/>
        </w:trPr>
        <w:tc>
          <w:tcPr>
            <w:tcW w:w="20" w:type="dxa"/>
            <w:vAlign w:val="bottom"/>
          </w:tcPr>
          <w:p>
            <w:pPr>
              <w:spacing w:after="0"/>
              <w:rPr>
                <w:sz w:val="13"/>
                <w:szCs w:val="13"/>
                <w:color w:val="auto"/>
              </w:rPr>
            </w:pPr>
          </w:p>
        </w:tc>
        <w:tc>
          <w:tcPr>
            <w:tcW w:w="4480" w:type="dxa"/>
            <w:vAlign w:val="bottom"/>
            <w:tcBorders>
              <w:bottom w:val="single" w:sz="8" w:color="CCEEFF"/>
            </w:tcBorders>
          </w:tcPr>
          <w:p>
            <w:pPr>
              <w:spacing w:after="0"/>
              <w:rPr>
                <w:sz w:val="13"/>
                <w:szCs w:val="13"/>
                <w:color w:val="auto"/>
              </w:rPr>
            </w:pPr>
          </w:p>
        </w:tc>
        <w:tc>
          <w:tcPr>
            <w:tcW w:w="40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Amortized Cost</w:t>
            </w:r>
          </w:p>
        </w:tc>
        <w:tc>
          <w:tcPr>
            <w:tcW w:w="5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40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149,976</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$149,710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4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43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149,976</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149,710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320" w:type="dxa"/>
            <w:vAlign w:val="bottom"/>
            <w:gridSpan w:val="2"/>
          </w:tcPr>
          <w:p>
            <w:pPr>
              <w:jc w:val="right"/>
              <w:ind w:right="3039"/>
              <w:spacing w:after="0"/>
              <w:rPr>
                <w:sz w:val="20"/>
                <w:szCs w:val="20"/>
                <w:color w:val="auto"/>
              </w:rPr>
            </w:pPr>
            <w:r>
              <w:rPr>
                <w:rFonts w:ascii="Arial" w:cs="Arial" w:eastAsia="Arial" w:hAnsi="Arial"/>
                <w:sz w:val="18"/>
                <w:szCs w:val="18"/>
                <w:color w:val="auto"/>
              </w:rPr>
              <w:t>F-20</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26"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December 31, 2017 and 2018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3"/>
                <w:szCs w:val="13"/>
                <w:color w:val="auto"/>
              </w:rPr>
            </w:pPr>
          </w:p>
        </w:tc>
        <w:tc>
          <w:tcPr>
            <w:tcW w:w="680" w:type="dxa"/>
            <w:vAlign w:val="bottom"/>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18,263</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$18,263</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Corporate and agency bonds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92,724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92,724</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Commercial paper</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34,393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34,393</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U.S. government agencies securities</w:t>
            </w:r>
          </w:p>
        </w:tc>
        <w:tc>
          <w:tcPr>
            <w:tcW w:w="1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66,125</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66,125</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211,505</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193,242</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$ 121</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$ 121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rPr>
              <w:t>December 31, 2018</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3"/>
                <w:szCs w:val="13"/>
                <w:color w:val="auto"/>
              </w:rPr>
            </w:pPr>
          </w:p>
        </w:tc>
        <w:tc>
          <w:tcPr>
            <w:tcW w:w="680" w:type="dxa"/>
            <w:vAlign w:val="bottom"/>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34,983</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$34,983</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Corporate and agency bonds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68,082</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68,082</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Commercial paper</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17,904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17,904</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U.S. government agencies securities</w:t>
            </w:r>
          </w:p>
        </w:tc>
        <w:tc>
          <w:tcPr>
            <w:tcW w:w="1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63,725</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63,725</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184,694</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34,983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149,711</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$ 198</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$ 198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years ended December 31, 2017 and 2018.</w:t>
      </w:r>
    </w:p>
    <w:p>
      <w:pPr>
        <w:spacing w:after="0" w:line="197" w:lineRule="exact"/>
        <w:rPr>
          <w:sz w:val="20"/>
          <w:szCs w:val="20"/>
          <w:color w:val="auto"/>
        </w:rPr>
      </w:pPr>
    </w:p>
    <w:p>
      <w:pPr>
        <w:ind w:left="200" w:right="260" w:firstLine="551"/>
        <w:spacing w:after="0" w:line="246"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8300" w:type="dxa"/>
            <w:vAlign w:val="bottom"/>
            <w:gridSpan w:val="3"/>
          </w:tcPr>
          <w:p>
            <w:pPr>
              <w:spacing w:after="0"/>
              <w:rPr>
                <w:sz w:val="20"/>
                <w:szCs w:val="20"/>
                <w:color w:val="auto"/>
              </w:rPr>
            </w:pPr>
            <w:r>
              <w:rPr>
                <w:rFonts w:ascii="Arial" w:cs="Arial" w:eastAsia="Arial" w:hAnsi="Arial"/>
                <w:sz w:val="14"/>
                <w:szCs w:val="14"/>
                <w:b w:val="1"/>
                <w:bCs w:val="1"/>
                <w:color w:val="auto"/>
              </w:rPr>
              <w:t>Fair Value Using Level 3 Inputs</w:t>
            </w:r>
          </w:p>
        </w:tc>
        <w:tc>
          <w:tcPr>
            <w:tcW w:w="2740" w:type="dxa"/>
            <w:vAlign w:val="bottom"/>
            <w:gridSpan w:val="4"/>
          </w:tcPr>
          <w:p>
            <w:pPr>
              <w:ind w:left="2040"/>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CCEEFF"/>
            </w:tcBorders>
            <w:shd w:val="clear" w:color="auto" w:fill="000000"/>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December 31, 2016</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2018</w:t>
            </w:r>
          </w:p>
        </w:tc>
        <w:tc>
          <w:tcPr>
            <w:tcW w:w="2260" w:type="dxa"/>
            <w:vAlign w:val="bottom"/>
            <w:gridSpan w:val="2"/>
            <w:shd w:val="clear" w:color="auto" w:fill="CCEEFF"/>
          </w:tcPr>
          <w:p>
            <w:pPr>
              <w:ind w:left="204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The original estimated fair value of the convertible preferred stock warrants of approximately $28,000, issued in February 2009 in conjunction with entering into a loan and security agreement with</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a lender, was measured upon issuance using the Black-Scholes option-pricing model. The Company recorded other expense of $3,000 and $77,000 for the change in estimated fair value of the warrant liabilities for the years ended December 31, 2017 and 2018, respectively. The inputs used in the determination of the fair value of the warrants as of December 31, 2018 used an estimated fair value per share of the Company’s common stock fair value per share, one month for the expected term of the warrant, 64.99% for the stock value volatility using publicly traded peer company volatility as a basis, and 2.44% for the risk-free interest rate on U.S. Treasury securities at 1-month constant maturity.</w:t>
      </w:r>
    </w:p>
    <w:p>
      <w:pPr>
        <w:spacing w:after="0" w:line="291" w:lineRule="exact"/>
        <w:rPr>
          <w:sz w:val="20"/>
          <w:szCs w:val="20"/>
          <w:color w:val="auto"/>
        </w:rPr>
      </w:pPr>
    </w:p>
    <w:p>
      <w:pPr>
        <w:ind w:left="200" w:right="8460" w:firstLine="4"/>
        <w:spacing w:after="0" w:line="394" w:lineRule="auto"/>
        <w:tabs>
          <w:tab w:leader="none" w:pos="40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w:t>
      </w:r>
    </w:p>
    <w:p>
      <w:pPr>
        <w:spacing w:after="0" w:line="1" w:lineRule="exact"/>
        <w:rPr>
          <w:rFonts w:ascii="Arial" w:cs="Arial" w:eastAsia="Arial" w:hAnsi="Arial"/>
          <w:sz w:val="17"/>
          <w:szCs w:val="17"/>
          <w:b w:val="1"/>
          <w:bCs w:val="1"/>
          <w:color w:val="auto"/>
        </w:rPr>
      </w:pPr>
    </w:p>
    <w:p>
      <w:pPr>
        <w:ind w:left="76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consist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36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w:t>
            </w: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16,715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18,977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22,300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25,314</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40,053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46,093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(15,180)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(22,200)</w:t>
            </w: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property and equipment, net</w:t>
            </w:r>
          </w:p>
        </w:tc>
        <w:tc>
          <w:tcPr>
            <w:tcW w:w="2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24,873</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23,893</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840" w:firstLine="551"/>
        <w:spacing w:after="0" w:line="246" w:lineRule="auto"/>
        <w:rPr>
          <w:sz w:val="20"/>
          <w:szCs w:val="20"/>
          <w:color w:val="auto"/>
        </w:rPr>
      </w:pPr>
      <w:r>
        <w:rPr>
          <w:rFonts w:ascii="Arial" w:cs="Arial" w:eastAsia="Arial" w:hAnsi="Arial"/>
          <w:sz w:val="18"/>
          <w:szCs w:val="18"/>
          <w:color w:val="auto"/>
        </w:rPr>
        <w:t>Depreciation expense was approximately $6.4 million and $7.2 million for the years ended December 31, 2017 and 2018,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4660" w:type="dxa"/>
            <w:vAlign w:val="bottom"/>
            <w:tcBorders>
              <w:bottom w:val="single" w:sz="8" w:color="CCEEFF"/>
            </w:tcBorders>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expenses</w:t>
            </w:r>
          </w:p>
        </w:tc>
        <w:tc>
          <w:tcPr>
            <w:tcW w:w="4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3,569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Clinical trials and research and development costs</w:t>
            </w: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3,239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4,844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Personnel-related costs</w:t>
            </w:r>
          </w:p>
        </w:tc>
        <w:tc>
          <w:tcPr>
            <w:tcW w:w="4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3,784</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4,148</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Manufacturing costs</w:t>
            </w:r>
          </w:p>
        </w:tc>
        <w:tc>
          <w:tcPr>
            <w:tcW w:w="4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1,094</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2,416</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accrued liabilities</w:t>
            </w:r>
          </w:p>
        </w:tc>
        <w:tc>
          <w:tcPr>
            <w:tcW w:w="4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11,686</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14,003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700" w:type="dxa"/>
            <w:vAlign w:val="bottom"/>
            <w:gridSpan w:val="2"/>
          </w:tcPr>
          <w:p>
            <w:pPr>
              <w:jc w:val="right"/>
              <w:ind w:right="3605"/>
              <w:spacing w:after="0"/>
              <w:rPr>
                <w:sz w:val="20"/>
                <w:szCs w:val="20"/>
                <w:color w:val="auto"/>
              </w:rPr>
            </w:pPr>
            <w:r>
              <w:rPr>
                <w:rFonts w:ascii="Arial" w:cs="Arial" w:eastAsia="Arial" w:hAnsi="Arial"/>
                <w:sz w:val="18"/>
                <w:szCs w:val="18"/>
                <w:color w:val="auto"/>
              </w:rPr>
              <w:t>F-22</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right="6640" w:firstLine="4"/>
        <w:spacing w:after="0" w:line="372" w:lineRule="auto"/>
        <w:tabs>
          <w:tab w:leader="none" w:pos="4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Summary of Collaboration Revenue</w:t>
      </w:r>
    </w:p>
    <w:p>
      <w:pPr>
        <w:spacing w:after="0" w:line="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recognized revenue from its collaboration and license agreements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CEEFF"/>
            </w:tcBorders>
          </w:tcPr>
          <w:p>
            <w:pPr>
              <w:spacing w:after="0"/>
              <w:rPr>
                <w:sz w:val="13"/>
                <w:szCs w:val="13"/>
                <w:color w:val="auto"/>
              </w:rPr>
            </w:pPr>
          </w:p>
        </w:tc>
        <w:tc>
          <w:tcPr>
            <w:tcW w:w="3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Related party revenue</w:t>
            </w:r>
          </w:p>
        </w:tc>
        <w:tc>
          <w:tcPr>
            <w:tcW w:w="3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fee</w:t>
            </w:r>
          </w:p>
        </w:tc>
        <w:tc>
          <w:tcPr>
            <w:tcW w:w="3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$18,800</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License revenue</w:t>
            </w:r>
          </w:p>
        </w:tc>
        <w:tc>
          <w:tcPr>
            <w:tcW w:w="3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31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58,341</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69,865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related party revenue</w:t>
            </w:r>
          </w:p>
        </w:tc>
        <w:tc>
          <w:tcPr>
            <w:tcW w:w="3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77,141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108,665</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JDRF</w:t>
      </w:r>
    </w:p>
    <w:p>
      <w:pPr>
        <w:spacing w:after="0" w:line="126"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In September 2011, the Company entered into a Research, Development and Commercialization Agreement with JDRF International, or JDRF, to conduct a research program to discover potential therapeutics for the treatment of diabetes. Under the terms of the agreement, the Company was eligible to receive research funding of up to $1.8 million. This research funding has been recognized in the service period in which it was earned. During the years ended December 31, 2017 and 2018 the Company did not recognize any revenue from this agreement.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Merck</w:t>
      </w:r>
    </w:p>
    <w:p>
      <w:pPr>
        <w:spacing w:after="0" w:line="126" w:lineRule="exact"/>
        <w:rPr>
          <w:sz w:val="20"/>
          <w:szCs w:val="20"/>
          <w:color w:val="auto"/>
        </w:rPr>
      </w:pPr>
    </w:p>
    <w:p>
      <w:pPr>
        <w:ind w:left="200" w:right="100" w:firstLine="551"/>
        <w:spacing w:after="0" w:line="235" w:lineRule="auto"/>
        <w:rPr>
          <w:sz w:val="20"/>
          <w:szCs w:val="20"/>
          <w:color w:val="auto"/>
        </w:rPr>
      </w:pPr>
      <w:r>
        <w:rPr>
          <w:rFonts w:ascii="Arial" w:cs="Arial" w:eastAsia="Arial" w:hAnsi="Arial"/>
          <w:sz w:val="18"/>
          <w:szCs w:val="18"/>
          <w:color w:val="auto"/>
        </w:rPr>
        <w:t>In February 2015, the Company entered into a research collaboration, product development and license agreement with Merck, covering the discovery, development and commercialization of novel therapies across a range of therapeutic areas (Merck Collaboration Agreement). The collaboration includes an exclusive worldwide license to the GDF15 program, comprising NGM386 and NGM395 and other GDF15 analogs. These compounds are being evaluated for the treatment of obesity. The collaboration also includes a broad, multi-year drug discovery and early development program financially supported by Merck but scientifically directed by the Company with input from Merck. For those compounds resulting from the research and development program that progress through human proof-of-concept studies, Merck has an exclusive option, at a cost of $20.0 million for each compound, to obtain an exclusive, worldwide license. If Merck exercises its option with respect to such a compound,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its further development and commercialization of the compound. If the Company elects to participate in the cost and profit share, subject to certain limitations, Merck will provide the Company with financial assistance in the form of advances of the Company’s share of the overall development costs, which Merck will recoup from the Company’s share of any profit ultimately resulting from sales of the compound or, if unsuccessful, other compounds that reach commercialization.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b w:val="1"/>
          <w:bCs w:val="1"/>
          <w:i w:val="1"/>
          <w:iCs w:val="1"/>
          <w:color w:val="auto"/>
        </w:rPr>
        <w:t xml:space="preserve">Research and Early Development Program. </w:t>
      </w:r>
      <w:r>
        <w:rPr>
          <w:rFonts w:ascii="Arial" w:cs="Arial" w:eastAsia="Arial" w:hAnsi="Arial"/>
          <w:sz w:val="18"/>
          <w:szCs w:val="18"/>
          <w:color w:val="auto"/>
        </w:rPr>
        <w:t>Pursuant to the collaboration agreement, the Company determines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studies,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Under the agreement, Merck reimburses the internal and external costs of the Company’s research and early development activities (research phase) in an amount up to $50.0 million per year, based on an estimated annual budget. If the Company exceeds this budget in a particular year, and if the program is such that the Company is performing IND-enabling studies at that time, Merck is required to elect either to reimburse up to an additional $25.0 million for use in funding IND-enabling or later-staged activities or will provide the Company with the equivalent value in in-kind services for preclinical and clinical development activities.</w:t>
      </w:r>
    </w:p>
    <w:p>
      <w:pPr>
        <w:spacing w:after="0" w:line="209"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Merck has the option to extend the initial five-year research phase for two additional two-year consecutive periods by paying a fee for each extension. Exercising the option for the first of the two-year periods is required to be communicated by Merck to the Company by March 17, 2019. The level of research funding during the research phase extensions will be negotiated at the time of the extension, subject to certain minimum and maximum funding limits based on a percentage of the then-existing funding. At the end of any research phase, Merck has the right to either require the Company to continue to conduct research and development activities with respect to certain of the then-existing programs for up to three years (tail period), by agreeing to pay all of the Company’s internal and external costs, or to take over such selected programs and conduct such research and development activities itself, at its own cost.</w:t>
      </w:r>
    </w:p>
    <w:p>
      <w:pPr>
        <w:spacing w:after="0" w:line="181" w:lineRule="exact"/>
        <w:rPr>
          <w:sz w:val="20"/>
          <w:szCs w:val="20"/>
          <w:color w:val="auto"/>
        </w:rPr>
      </w:pPr>
    </w:p>
    <w:p>
      <w:pPr>
        <w:ind w:left="200" w:right="60" w:firstLine="551"/>
        <w:spacing w:after="0" w:line="255" w:lineRule="auto"/>
        <w:rPr>
          <w:sz w:val="20"/>
          <w:szCs w:val="20"/>
          <w:color w:val="auto"/>
        </w:rPr>
      </w:pPr>
      <w:r>
        <w:rPr>
          <w:rFonts w:ascii="Arial" w:cs="Arial" w:eastAsia="Arial" w:hAnsi="Arial"/>
          <w:sz w:val="17"/>
          <w:szCs w:val="17"/>
          <w:b w:val="1"/>
          <w:bCs w:val="1"/>
          <w:i w:val="1"/>
          <w:iCs w:val="1"/>
          <w:color w:val="auto"/>
        </w:rPr>
        <w:t xml:space="preserve">Merck Option to License the Company’s Programs. </w:t>
      </w:r>
      <w:r>
        <w:rPr>
          <w:rFonts w:ascii="Arial" w:cs="Arial" w:eastAsia="Arial" w:hAnsi="Arial"/>
          <w:sz w:val="17"/>
          <w:szCs w:val="17"/>
          <w:color w:val="auto"/>
        </w:rPr>
        <w:t>Upon completion of a human proof-of-concept study for a particular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compound, regardless of the results of such study, Merck has the one-time option to obtain an exclusive, worldwide license, on specified terms, to that compound, as well as to other molecules that are directed against the same target in the same manner (Optioned Program). If Merck exercises its license option, Merck will be responsible, at its own cost, for any further development and commercialization activities for compounds within that Optioned Program, subject to the Company’s options to cost and profit share worldwide and to co-detail those compounds in the United States, as further described below. If Merck does not exercise its license option with respect to a particular compound within a limited period of time, the Company will retain all rights to research, develop and commercialize that compound and its related molecules on a worldwide basis at the Company’s expense, either alone or in partnership with a third party, subject to the payment to Merck of low single digit percentage royalties on any commercial sales of any resulting products.</w:t>
      </w:r>
    </w:p>
    <w:p>
      <w:pPr>
        <w:spacing w:after="0" w:line="170" w:lineRule="exact"/>
        <w:rPr>
          <w:sz w:val="20"/>
          <w:szCs w:val="20"/>
          <w:color w:val="auto"/>
        </w:rPr>
      </w:pPr>
    </w:p>
    <w:p>
      <w:pPr>
        <w:ind w:left="200" w:right="80" w:firstLine="551"/>
        <w:spacing w:after="0" w:line="241" w:lineRule="auto"/>
        <w:rPr>
          <w:sz w:val="20"/>
          <w:szCs w:val="20"/>
          <w:color w:val="auto"/>
        </w:rPr>
      </w:pPr>
      <w:r>
        <w:rPr>
          <w:rFonts w:ascii="Arial" w:cs="Arial" w:eastAsia="Arial" w:hAnsi="Arial"/>
          <w:sz w:val="18"/>
          <w:szCs w:val="18"/>
          <w:b w:val="1"/>
          <w:bCs w:val="1"/>
          <w:i w:val="1"/>
          <w:iCs w:val="1"/>
          <w:color w:val="auto"/>
        </w:rPr>
        <w:t xml:space="preserve">Company Option to Elect Cost and Profit Share and Merck Financial Assistance. </w:t>
      </w:r>
      <w:r>
        <w:rPr>
          <w:rFonts w:ascii="Arial" w:cs="Arial" w:eastAsia="Arial" w:hAnsi="Arial"/>
          <w:sz w:val="18"/>
          <w:szCs w:val="18"/>
          <w:color w:val="auto"/>
        </w:rPr>
        <w:t>If Merck exercises its license option,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point where it has advanced the licensed compound to its first Phase 3 clinical study, the Company has the option for a limited period of time to share up to 50% of the costs and profits with Merck on that compound (NGM Optioned Products). As part of the Company’s election to exercise the option to cost and profit share, the Company will also select the percentage share, up to 50%, that it desires to fund of the total global costs of developing and, if approved, commercializing that NGM Optioned Product. The percentage of any profits the Company will receive from sales of the NGM Optioned Product will be the same as the percentage share the Company elects to contribute to the total global costs of developing the product. The Company’s right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to participate in cost and profit sharing for each of the compounds that Merck licenses is subject to the following limitation: if, at the point in time when the Company is able to exercise its option for a licensed compound, the actual costs the Company has incurred across all NGM Optioned Products, plus the prospective costs allocated to the Company across all NGM Optioned Products, plus the costs the Company is electing to incur if it exercises its option for the compound, reaches $1.0 billion (if the research phase ends in 2020), $1.4 billion (if the research phase is extended to 2022), or $1.8 billion (if the research phase is extended to 2024), then the Company will not be able to exercise its options on any further licensed compounds that Merck takes forward.</w:t>
      </w:r>
    </w:p>
    <w:p>
      <w:pPr>
        <w:spacing w:after="0" w:line="205"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Pursuant to the collaboration agreement, at the Company’s election to cost and profit share on a NGM Optioned Product, Merck will advance to the Company a specified portion of the expected global costs for that NGM Optioned Product. These advances are subject to an aggregate cap across all NGM Optioned Products over the term of the collaboration.</w:t>
      </w:r>
    </w:p>
    <w:p>
      <w:pPr>
        <w:spacing w:after="0" w:line="181" w:lineRule="exact"/>
        <w:rPr>
          <w:sz w:val="20"/>
          <w:szCs w:val="20"/>
          <w:color w:val="auto"/>
        </w:rPr>
      </w:pPr>
    </w:p>
    <w:p>
      <w:pPr>
        <w:ind w:left="200" w:right="40" w:firstLine="551"/>
        <w:spacing w:after="0" w:line="241" w:lineRule="auto"/>
        <w:rPr>
          <w:sz w:val="20"/>
          <w:szCs w:val="20"/>
          <w:color w:val="auto"/>
        </w:rPr>
      </w:pPr>
      <w:r>
        <w:rPr>
          <w:rFonts w:ascii="Arial" w:cs="Arial" w:eastAsia="Arial" w:hAnsi="Arial"/>
          <w:sz w:val="18"/>
          <w:szCs w:val="18"/>
          <w:b w:val="1"/>
          <w:bCs w:val="1"/>
          <w:i w:val="1"/>
          <w:iCs w:val="1"/>
          <w:color w:val="auto"/>
        </w:rPr>
        <w:t xml:space="preserve">Co-Detailing Rights in the United States. </w:t>
      </w:r>
      <w:r>
        <w:rPr>
          <w:rFonts w:ascii="Arial" w:cs="Arial" w:eastAsia="Arial" w:hAnsi="Arial"/>
          <w:sz w:val="18"/>
          <w:szCs w:val="18"/>
          <w:color w:val="auto"/>
        </w:rPr>
        <w:t>For each NGM Optioned Product, the Company also has the option to participate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commercial promotion (co-detailing) to provide up to 25% of the total requisite details in the United States of the NGM Optioned Product by fielding its own commercial sales force. The Company will be required to make this election prior to receiving regulatory approval in the U.S. for the NGM Optioned Product. The specifics of the participation in co-detailing will be determined by the parties according to guidelines set out in the collaboration agreement. If the Company elects to co-detail with Merck, the Company’s costs are included in the overall shared commercialization costs, but it will not share in any greater portion of the profits than it otherwise would be entitled to for that NGM Optioned Product.</w:t>
      </w:r>
    </w:p>
    <w:p>
      <w:pPr>
        <w:spacing w:after="0" w:line="179"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b w:val="1"/>
          <w:bCs w:val="1"/>
          <w:i w:val="1"/>
          <w:iCs w:val="1"/>
          <w:color w:val="auto"/>
        </w:rPr>
        <w:t xml:space="preserve">Small Molecule Research and Development. </w:t>
      </w:r>
      <w:r>
        <w:rPr>
          <w:rFonts w:ascii="Arial" w:cs="Arial" w:eastAsia="Arial" w:hAnsi="Arial"/>
          <w:sz w:val="18"/>
          <w:szCs w:val="18"/>
          <w:color w:val="auto"/>
        </w:rPr>
        <w:t>Under the collaboration agreement, the Company also granted Merck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184" w:lineRule="exact"/>
        <w:rPr>
          <w:sz w:val="20"/>
          <w:szCs w:val="20"/>
          <w:color w:val="auto"/>
        </w:rPr>
      </w:pPr>
    </w:p>
    <w:p>
      <w:pPr>
        <w:ind w:left="200" w:right="160" w:firstLine="551"/>
        <w:spacing w:after="0" w:line="244" w:lineRule="auto"/>
        <w:rPr>
          <w:sz w:val="20"/>
          <w:szCs w:val="20"/>
          <w:color w:val="auto"/>
        </w:rPr>
      </w:pPr>
      <w:r>
        <w:rPr>
          <w:rFonts w:ascii="Arial" w:cs="Arial" w:eastAsia="Arial" w:hAnsi="Arial"/>
          <w:sz w:val="18"/>
          <w:szCs w:val="18"/>
          <w:b w:val="1"/>
          <w:bCs w:val="1"/>
          <w:i w:val="1"/>
          <w:iCs w:val="1"/>
          <w:color w:val="auto"/>
        </w:rPr>
        <w:t xml:space="preserve">Upfront payment; Series E Convertible Preferred Stock Purchase Agreement, Extension of Research Phases(s) and Private Placement. </w:t>
      </w:r>
      <w:r>
        <w:rPr>
          <w:rFonts w:ascii="Arial" w:cs="Arial" w:eastAsia="Arial" w:hAnsi="Arial"/>
          <w:sz w:val="18"/>
          <w:szCs w:val="18"/>
          <w:color w:val="auto"/>
        </w:rPr>
        <w:t>Under the terms of the collaboration agreement, the Company received an upfront payment of $94.0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Merck entered into a stock purchase agreement to purchase 8,833,333 shares of Series E convertible preferred stock at a price of $12.00 per share, resulting in net proceeds of approximately $105.9 million. In April 2015, the Company received the $94.0 million upfront payment.</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entered into a Side Letter Agreement whereby Merck has the irrevocable option to purchase or, if it does not, the Company has the irrevocable option to require Merck to purchase an additional amount of the Company’s common stock pursuant to a private placement conducted in parallel with its IPO, up to a limit of the number of shares that will result in Merck owning approximately 19.9% of the Company’s outstanding shares, at the same price per share as offered to the public. If Merck elects to extend the research phase of the collaboration until March 17, 2022, it has the option to purchase an additional $5.0 million of the Company’s common stock at a price per share equal to the last closing price of the Company’s shares on the date it notifies the Company of its desire to exercise such option and, if Merck elects again to extend the research phase to March 17, 2024, it has an option to purchase another $5.0 million of the Company’s common stock on the same terms; with both options subject to an overall cap on Merck’s ownership interest of 19.9%. Merck did not exercise a similar option in connection with its extension of the collaboration through 2022 in March 2019.</w:t>
      </w:r>
    </w:p>
    <w:p>
      <w:pPr>
        <w:spacing w:after="0" w:line="18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b w:val="1"/>
          <w:bCs w:val="1"/>
          <w:i w:val="1"/>
          <w:iCs w:val="1"/>
          <w:color w:val="auto"/>
        </w:rPr>
        <w:t xml:space="preserve">Standstill, Lock-Up and Voting Agreements. </w:t>
      </w:r>
      <w:r>
        <w:rPr>
          <w:rFonts w:ascii="Arial" w:cs="Arial" w:eastAsia="Arial" w:hAnsi="Arial"/>
          <w:sz w:val="18"/>
          <w:szCs w:val="18"/>
          <w:color w:val="auto"/>
        </w:rPr>
        <w:t>The Side Letter Agreement also includes standstill provisions providing that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ending on the earlier of the end of the initial five-year research term, the announcement of the Company’s intent to consummate a change in control transaction (subject to certain exceptions) or the termination of the collaboration agreement, neither Merck nor its representatives will, directly or indirectly, among other things: (i) acquire any of the Company’s securities to the extent it would result in Merck owning more than 19.9% of the Company’s shares, (ii) solicit proxies for the Company’s securities or (iii) participate in a business combination involving the Company, take any action that might result in the Company having to make a public announcement about (i) or</w:t>
      </w:r>
    </w:p>
    <w:p>
      <w:pPr>
        <w:spacing w:after="0" w:line="1" w:lineRule="exact"/>
        <w:rPr>
          <w:sz w:val="20"/>
          <w:szCs w:val="20"/>
          <w:color w:val="auto"/>
        </w:rPr>
      </w:pPr>
    </w:p>
    <w:p>
      <w:pPr>
        <w:ind w:left="200" w:right="40" w:firstLine="4"/>
        <w:spacing w:after="0" w:line="236" w:lineRule="auto"/>
        <w:tabs>
          <w:tab w:leader="none" w:pos="4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or seek to influence the Company’s management or policies, except that Merck is not precluded from making confidential, non-public proposals to the Company or third parties with the Company’s express consent. In addition, during the period that ends on the earlier of the end of the initial five-year research term, the announcement of the Company’s intent to consummate a change in control transaction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the Company’s board of directors. Merck has also agreed, subject to specified exceptions and during the period of the initial five-year research phase, not to sell any of its shares of the Company’s capital stock (subject to certain limited exceptions).</w:t>
      </w:r>
    </w:p>
    <w:p>
      <w:pPr>
        <w:spacing w:after="0" w:line="208"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The Company identified several significant deliverables under the agreement, including the license and know-how to the GDF15 program, the license to a Small Molecule Program and research and development services to be performed by the Company on behalf of Merck, including research and early development activities up through human proof of concept. The Company concluded that the license to the GDF15 program and the license for the Small Molecule Program do not have stand-alone value to Merck apart from the related research and development services deliverables as there are no other vendors selling similar, competing products on a stand-alone basis and Merck is unable to use the license for its intended purpose without the Company’s performance of research and development services. Accordingly, the Company has accounted for the deliverables as one unit of accounting. As such, a total of $94.0 million of revenue is being recognized on a straight-line basis over the period over which the Company expects to fulfill its performance obligations (the performance period), which was determined to be five years. The Company evaluates the performance period at each reporting period.</w:t>
      </w:r>
    </w:p>
    <w:p>
      <w:pPr>
        <w:spacing w:after="0" w:line="207"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The Company is also eligible to receive additional payments specific to Merck opting into an Optioned Program. Except for the GDF15 program, each Optioned Program is eligible to receive a</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one-time payment of $20.0 million upon Merck’s exercise of its one-time option to obtain an exclusive, worldwide license for a licensed compound following the completion of a human proof-of-concept study. In addition, if the Company does not opt in to the cost and profit sharing option, then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205"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A break out of the milestone payments in connection with the potential achievement of certain clinical development events is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First</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Second</w:t>
            </w:r>
          </w:p>
        </w:tc>
        <w:tc>
          <w:tcPr>
            <w:tcW w:w="3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Third</w:t>
            </w:r>
          </w:p>
        </w:tc>
      </w:tr>
      <w:tr>
        <w:trPr>
          <w:trHeight w:val="175"/>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90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rPr>
              <w:t>Indication</w:t>
            </w:r>
          </w:p>
        </w:tc>
        <w:tc>
          <w:tcPr>
            <w:tcW w:w="106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rPr>
              <w:t>Indication</w:t>
            </w:r>
          </w:p>
        </w:tc>
        <w:tc>
          <w:tcPr>
            <w:tcW w:w="114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rPr>
              <w:t>Indication</w:t>
            </w:r>
          </w:p>
        </w:tc>
      </w:tr>
      <w:tr>
        <w:trPr>
          <w:trHeight w:val="182"/>
        </w:trPr>
        <w:tc>
          <w:tcPr>
            <w:tcW w:w="20" w:type="dxa"/>
            <w:vAlign w:val="bottom"/>
          </w:tcPr>
          <w:p>
            <w:pPr>
              <w:spacing w:after="0"/>
              <w:rPr>
                <w:sz w:val="15"/>
                <w:szCs w:val="15"/>
                <w:color w:val="auto"/>
              </w:rPr>
            </w:pPr>
          </w:p>
        </w:tc>
        <w:tc>
          <w:tcPr>
            <w:tcW w:w="7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Upon administration of an applicable product to the first patient in the first Phase 3 clinical trial for</w:t>
            </w: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such product for the given indication</w:t>
            </w:r>
          </w:p>
        </w:tc>
        <w:tc>
          <w:tcPr>
            <w:tcW w:w="900" w:type="dxa"/>
            <w:vAlign w:val="bottom"/>
            <w:gridSpan w:val="2"/>
            <w:shd w:val="clear" w:color="auto" w:fill="CCEEFF"/>
          </w:tcPr>
          <w:p>
            <w:pPr>
              <w:jc w:val="center"/>
              <w:ind w:left="119"/>
              <w:spacing w:after="0" w:line="203" w:lineRule="exact"/>
              <w:rPr>
                <w:sz w:val="20"/>
                <w:szCs w:val="20"/>
                <w:color w:val="auto"/>
              </w:rPr>
            </w:pPr>
            <w:r>
              <w:rPr>
                <w:rFonts w:ascii="Arial" w:cs="Arial" w:eastAsia="Arial" w:hAnsi="Arial"/>
                <w:sz w:val="18"/>
                <w:szCs w:val="18"/>
                <w:color w:val="auto"/>
                <w:w w:val="99"/>
              </w:rPr>
              <w:t>$ 35,000</w:t>
            </w:r>
          </w:p>
        </w:tc>
        <w:tc>
          <w:tcPr>
            <w:tcW w:w="1060" w:type="dxa"/>
            <w:vAlign w:val="bottom"/>
            <w:gridSpan w:val="2"/>
            <w:shd w:val="clear" w:color="auto" w:fill="CCEEFF"/>
          </w:tcPr>
          <w:p>
            <w:pPr>
              <w:jc w:val="center"/>
              <w:ind w:left="299"/>
              <w:spacing w:after="0" w:line="203" w:lineRule="exact"/>
              <w:rPr>
                <w:sz w:val="20"/>
                <w:szCs w:val="20"/>
                <w:color w:val="auto"/>
              </w:rPr>
            </w:pPr>
            <w:r>
              <w:rPr>
                <w:rFonts w:ascii="Arial" w:cs="Arial" w:eastAsia="Arial" w:hAnsi="Arial"/>
                <w:sz w:val="18"/>
                <w:szCs w:val="18"/>
                <w:color w:val="auto"/>
                <w:w w:val="96"/>
              </w:rPr>
              <w:t>$ 25,250</w:t>
            </w:r>
          </w:p>
        </w:tc>
        <w:tc>
          <w:tcPr>
            <w:tcW w:w="1080" w:type="dxa"/>
            <w:vAlign w:val="bottom"/>
            <w:gridSpan w:val="2"/>
            <w:shd w:val="clear" w:color="auto" w:fill="CCEEFF"/>
          </w:tcPr>
          <w:p>
            <w:pPr>
              <w:jc w:val="center"/>
              <w:ind w:left="299"/>
              <w:spacing w:after="0" w:line="203" w:lineRule="exact"/>
              <w:rPr>
                <w:sz w:val="20"/>
                <w:szCs w:val="20"/>
                <w:color w:val="auto"/>
              </w:rPr>
            </w:pPr>
            <w:r>
              <w:rPr>
                <w:rFonts w:ascii="Arial" w:cs="Arial" w:eastAsia="Arial" w:hAnsi="Arial"/>
                <w:sz w:val="18"/>
                <w:szCs w:val="18"/>
                <w:color w:val="auto"/>
                <w:w w:val="99"/>
              </w:rPr>
              <w:t>$ 17,500</w:t>
            </w:r>
          </w:p>
        </w:tc>
        <w:tc>
          <w:tcPr>
            <w:tcW w:w="6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200" w:right="460" w:firstLine="551"/>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regulatory events for each of the three indications, for each of the three geographic areas, is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54"/>
              <w:spacing w:after="0"/>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Second</w:t>
            </w:r>
          </w:p>
        </w:tc>
        <w:tc>
          <w:tcPr>
            <w:tcW w:w="380" w:type="dxa"/>
            <w:vAlign w:val="bottom"/>
          </w:tcPr>
          <w:p>
            <w:pPr>
              <w:spacing w:after="0"/>
              <w:rPr>
                <w:sz w:val="14"/>
                <w:szCs w:val="14"/>
                <w:color w:val="auto"/>
              </w:rPr>
            </w:pPr>
          </w:p>
        </w:tc>
        <w:tc>
          <w:tcPr>
            <w:tcW w:w="680" w:type="dxa"/>
            <w:vAlign w:val="bottom"/>
          </w:tcPr>
          <w:p>
            <w:pPr>
              <w:jc w:val="right"/>
              <w:ind w:right="76"/>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Indication</w:t>
            </w:r>
          </w:p>
        </w:tc>
        <w:tc>
          <w:tcPr>
            <w:tcW w:w="3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Indication</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Indication</w:t>
            </w:r>
          </w:p>
        </w:tc>
        <w:tc>
          <w:tcPr>
            <w:tcW w:w="38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56,250</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$ 37,500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European Union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45,000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22,500</w:t>
            </w:r>
          </w:p>
        </w:tc>
        <w:tc>
          <w:tcPr>
            <w:tcW w:w="3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67,500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165,000</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123,750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$ 82,500</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371,250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203"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The Company has concluded that certain research, clinical development and regulatory milestones that may be received under the Merck Collaboration Agreement, if the Company is involved in future product research, development and commercialization, are substantive. Factors considered in the evaluation of the milestones included the degree of risk associated with performance of the milestone, the level of effort and investment required, whether the milestone consideration was reasonable relative to the deliverables, whether there are substantive uncertainties at the date the arrangement was entered into that the milestone will be achieved, whether the products and services are priced at a significant and incremental discount, whether the consideration relates solely to past performance and whether the milestone was earned at least in part based on the Company’s performance. Revenues from substantive milestones, if they are non-refundable, are recognized as revenue upon successful accomplishment of the milestones. Research, clinical and regulatory milestones are deemed non-substantive if they are based solely on the collaborator’s performance. Non -substantive milestones will be recognized when achieved to the extent the Company has no remaining performance obligations under the arrangement. Milestone payments earned upon achievement of commercial milestone events will be recognized when earned. In November 2018, Merck exercised its option to license NGM313 and, in December 2018, paid the Company $20.0 million.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Related Party Transactions</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Revenues from related parties refer to the collaboration agreement with Merck. The Company recognized related party revenue of $77.1 million and $108.7 million for the years ended December 31, 2017 and 2018, respectively. As of December 31, 2017, the Company had deferred revenue from related party collaboration agreements of $44.1 million, comprised of $41.5 million of amortized upfront payments and $2.6 million relating to advance payments for research and development activities. As of December 31, 2018, the Company had deferred revenue from related party collaboration agreements of $23.0 million, comprised of $22.7 million of unamortized upfront payments and $0.3 million relating to advance payments for research and development activities.</w:t>
      </w:r>
    </w:p>
    <w:p>
      <w:pPr>
        <w:spacing w:after="0" w:line="291" w:lineRule="exact"/>
        <w:rPr>
          <w:sz w:val="20"/>
          <w:szCs w:val="20"/>
          <w:color w:val="auto"/>
        </w:rPr>
      </w:pPr>
    </w:p>
    <w:p>
      <w:pPr>
        <w:jc w:val="center"/>
        <w:ind w:left="200" w:right="7720" w:firstLine="4"/>
        <w:spacing w:after="0" w:line="394" w:lineRule="auto"/>
        <w:tabs>
          <w:tab w:leader="none" w:pos="40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left="200" w:right="680" w:firstLine="551"/>
        <w:spacing w:after="0" w:line="234"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(630 Gateway) for approximately 50,000 square feet, as amended in June 2014</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3"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In June 2015, the Company entered into an operating lease for additional office space for its corporate office at 600 Gateway Blvd, in South San Francisco, California (600 Gateway) for approximately 7,900 square feet that expired in November 2016.</w:t>
      </w:r>
    </w:p>
    <w:p>
      <w:pPr>
        <w:spacing w:after="0" w:line="197"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provided a tenant improvement allowance of $15.2 million that the Company used in 2016 towards $22.3 million in total leasehold improvements that are amortized over the lease term of seven years.</w:t>
      </w:r>
    </w:p>
    <w:p>
      <w:pPr>
        <w:spacing w:after="0" w:line="202"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The lease agreement requires a letter of credit in the amount of $2.3 million as a security deposit to the lease, which the Company has recorded as long-term restricted cash. The Company has the right to reduce the letter of credit amount by $0.4 million on each the 3rd anniversary and 4th anniversary of rent commencement date, respectively.</w:t>
      </w:r>
    </w:p>
    <w:p>
      <w:pPr>
        <w:spacing w:after="0" w:line="203" w:lineRule="exact"/>
        <w:rPr>
          <w:sz w:val="20"/>
          <w:szCs w:val="20"/>
          <w:color w:val="auto"/>
        </w:rPr>
      </w:pPr>
    </w:p>
    <w:p>
      <w:pPr>
        <w:ind w:left="200" w:right="160" w:firstLine="551"/>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December 31, 2018 because of the short duration of the remaining lease term through November 2020, and Merck’s credit rating of AA/A1 and subsequent investment in tenant improvements to the facility. As of December 31, 2017 and 2018, the remaining lease payment obligations that are due for 630 Gateway were approximately $5.7 million and $3.9 million, respectively, of which are to be paid directly from Merck to the lessor in their entirety.</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$2.2 million for the years ended December 31, 2017 and 2018, respectively.</w:t>
      </w:r>
    </w:p>
    <w:p>
      <w:pPr>
        <w:spacing w:after="0" w:line="202"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December 31, 2018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4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4,849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4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4,995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4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5,141</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2022 and thereafter</w:t>
            </w:r>
          </w:p>
        </w:tc>
        <w:tc>
          <w:tcPr>
            <w:tcW w:w="428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10,749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25,734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3"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3"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89" w:lineRule="exact"/>
        <w:rPr>
          <w:sz w:val="20"/>
          <w:szCs w:val="20"/>
          <w:color w:val="auto"/>
        </w:rPr>
      </w:pPr>
    </w:p>
    <w:p>
      <w:pPr>
        <w:ind w:left="200" w:right="8460" w:firstLine="4"/>
        <w:spacing w:after="0" w:line="394" w:lineRule="auto"/>
        <w:tabs>
          <w:tab w:leader="none" w:pos="40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spacing w:after="0" w:line="1"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The Company has elected to follow the SEC staff’s guidance (included in ASC 480-10-S99, SEC Materials) when evaluating the classification for its shares within the consolidated balance sheets. A liquidation, winding up, change in control, or sale of substantially all assets of the Company could constitute a redemption event. Although the majority of the Company’s preferred stock is not mandatorily or currently redeemable, a liquidation or winding up of the Company could constitute an event outside its control. Therefore, all shares of convertible preferred stock have been presented outside the permanent equity for all periods presented due to being contingently redeemable.</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Convertible preferred stock at December 31, 2017 and 2018, consisted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vMerge w:val="restart"/>
          </w:tcPr>
          <w:p>
            <w:pPr>
              <w:jc w:val="right"/>
              <w:ind w:right="71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rPr>
              <w:t>Issuance</w:t>
            </w:r>
          </w:p>
        </w:tc>
        <w:tc>
          <w:tcPr>
            <w:tcW w:w="4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w:t>
            </w:r>
          </w:p>
        </w:tc>
        <w:tc>
          <w:tcPr>
            <w:tcW w:w="46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Price per</w:t>
            </w:r>
          </w:p>
        </w:tc>
        <w:tc>
          <w:tcPr>
            <w:tcW w:w="12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Liquidation</w:t>
            </w:r>
          </w:p>
        </w:tc>
        <w:tc>
          <w:tcPr>
            <w:tcW w:w="460" w:type="dxa"/>
            <w:vAlign w:val="bottom"/>
          </w:tcPr>
          <w:p>
            <w:pPr>
              <w:spacing w:after="0"/>
              <w:rPr>
                <w:sz w:val="7"/>
                <w:szCs w:val="7"/>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w w:val="97"/>
              </w:rPr>
              <w:t>Share</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2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13,295</w:t>
            </w: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13,275</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11,078</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11,078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55,389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55,148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3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8,328</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8,328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49,970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6,600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5,753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57,530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57,461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23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8,833</w:t>
            </w:r>
          </w:p>
        </w:tc>
        <w:tc>
          <w:tcPr>
            <w:tcW w:w="46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8,833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88,335</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105,916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48,134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47,267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277,774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26"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In March 2015, the Company amended and restated its certificate of incorporation in conjunction with the Series E convertible preferred stock offering. The significant rights and obligations of the Company’s convertible preferred stock as of December 31, 2017 are as follows:</w:t>
      </w:r>
    </w:p>
    <w:p>
      <w:pPr>
        <w:spacing w:after="0" w:line="181" w:lineRule="exact"/>
        <w:rPr>
          <w:sz w:val="20"/>
          <w:szCs w:val="20"/>
          <w:color w:val="auto"/>
        </w:rPr>
      </w:pPr>
    </w:p>
    <w:p>
      <w:pPr>
        <w:jc w:val="both"/>
        <w:ind w:left="200" w:right="440" w:firstLine="551"/>
        <w:spacing w:after="0" w:line="24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holder of convertible preferred stock is entitled to the number of votes equal to the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into which such shares of convertible preferred stock are convertible. In the event the preferred stockholders control a majority of the Board of Directors through direct representation on the Board of Directors or through other rights, the stockholders can approve redemption of the preferred stock.</w:t>
      </w:r>
    </w:p>
    <w:p>
      <w:pPr>
        <w:spacing w:after="0" w:line="174" w:lineRule="exact"/>
        <w:rPr>
          <w:sz w:val="20"/>
          <w:szCs w:val="20"/>
          <w:color w:val="auto"/>
        </w:rPr>
      </w:pPr>
    </w:p>
    <w:p>
      <w:pPr>
        <w:jc w:val="both"/>
        <w:ind w:left="200" w:right="40" w:firstLine="551"/>
        <w:spacing w:after="0" w:line="25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Each holder of convertible preferred stock is entitled to receive non-cumulative dividends at the rate of 8% per annum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share of convertible preferred stock outstanding, when, as and if declared by the Board of Directors. These dividends are payable in preference to common stock dividends. To date, the Company has not declared or paid any dividends.</w:t>
      </w:r>
    </w:p>
    <w:p>
      <w:pPr>
        <w:spacing w:after="0" w:line="169"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In the event of any liquidation, dissolution or winding-up of the Company, each holder of convertible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will only be eligible to receive an amount equal to $10.00 per share plus all declared and unpaid dividends on the convertible preferred stock. In the event that the available funds and assets are insufficient for full payment to the holders of convertible preferred stock on a per-share basis as outlined above, the entire assets and funds of the Company legally available for distribution shall be distributed ratably among the holders of convertible preferred stock in proportion to the full amount to which they would otherwise be respectively entitled. Upon completion of the distribution of assets as set forth above, all of the remaining assets, if any, shall be distributed ratably among the holders of common stock.</w:t>
      </w:r>
    </w:p>
    <w:p>
      <w:pPr>
        <w:spacing w:after="0" w:line="181" w:lineRule="exact"/>
        <w:rPr>
          <w:sz w:val="20"/>
          <w:szCs w:val="20"/>
          <w:color w:val="auto"/>
        </w:rPr>
      </w:pPr>
    </w:p>
    <w:p>
      <w:pPr>
        <w:ind w:left="200" w:right="140" w:firstLine="551"/>
        <w:spacing w:after="0" w:line="253"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Each share of convertible preferred stock is convertible at the option of the holder into the number of fully paid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non-assessable shares of common stock that result from dividing the original issue price by the conversion price of the convertible preferred stock. The conversion ratio for each series of convertible preferred stock is 1:1.</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left="200" w:right="300" w:firstLine="551"/>
        <w:spacing w:after="0"/>
        <w:rPr>
          <w:sz w:val="20"/>
          <w:szCs w:val="20"/>
          <w:color w:val="auto"/>
        </w:rPr>
      </w:pPr>
      <w:r>
        <w:rPr>
          <w:rFonts w:ascii="Arial" w:cs="Arial" w:eastAsia="Arial" w:hAnsi="Arial"/>
          <w:sz w:val="18"/>
          <w:szCs w:val="18"/>
          <w:color w:val="auto"/>
        </w:rPr>
        <w:t>Conversion of each series of convertible preferred stock into common stock is automatic upon the earlier of: (a) the closing of an initial public offering of the Company’s common stock, registered under the Securities Act of 1933, which results in aggregate proceeds equal to or exceeding $30.0 million to the Company; or (b) at any time upon the affirmative election of the 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Convertible Preferred Stock Warrant</w:t>
      </w:r>
    </w:p>
    <w:p>
      <w:pPr>
        <w:spacing w:after="0" w:line="126"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During 2009, the Company entered into a $ 1.7 million loan and security agreement with one lender. On June 29, 2010, the Company paid off the loan. In conjunction with the debt facility, the Company issued to the lender a warrant to acquire a total of 19,637 shares of Series A convertible preferred stock exercisable at $2.00 per share and that automatically net exercises to Series A preferred stock on February 3, 2019. The warrant was valued at approximately $1.44 per share, as calculated using the Black-Scholes option-pricing model using a Series A preferred stock estimated fair value of $2.00 per share, a volatility of 60%, a risk-free interest rate of 3.59%, an expected life of ten years and no dividends. The estimated warrant fair value was initially calculated as approximately $28,000 and was recorded as a discount to the debt. At each subsequent reporting date, the estimated fair value of the warrant is remeasured (Note 3) to adjust the liability for changes in fair value until the earlier of the exercise or expiration of the warrants, or the completion of a deemed liquidation event. At that time, the convertible preferred stock warrant liability will be reclassified to convertible preferred stock or additional paid-in-capital, as applicable.</w:t>
      </w:r>
    </w:p>
    <w:p>
      <w:pPr>
        <w:spacing w:after="0" w:line="293" w:lineRule="exact"/>
        <w:rPr>
          <w:sz w:val="20"/>
          <w:szCs w:val="20"/>
          <w:color w:val="auto"/>
        </w:rPr>
      </w:pPr>
    </w:p>
    <w:p>
      <w:pPr>
        <w:ind w:left="200" w:right="8940" w:firstLine="4"/>
        <w:spacing w:after="0" w:line="372" w:lineRule="auto"/>
        <w:tabs>
          <w:tab w:leader="none" w:pos="5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Deficit </w:t>
      </w:r>
      <w:r>
        <w:rPr>
          <w:rFonts w:ascii="Arial" w:cs="Arial" w:eastAsia="Arial" w:hAnsi="Arial"/>
          <w:sz w:val="18"/>
          <w:szCs w:val="18"/>
          <w:b w:val="1"/>
          <w:bCs w:val="1"/>
          <w:i w:val="1"/>
          <w:iCs w:val="1"/>
          <w:color w:val="auto"/>
        </w:rPr>
        <w:t>Common Stock</w:t>
      </w:r>
    </w:p>
    <w:p>
      <w:pPr>
        <w:spacing w:after="0" w:line="2"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As of December 31, 2017 and 2018, the Company had 6,218,806 and 6,937,890 shares of common stock outstanding, respectively, which includes shares subject to repurchase of 113,827 and 205,108, respectively, as a result of early exercise of stock options not yet vested. As of December 31, 2017 and 2018, the Company reserved shares of common stock, on an as-if-converted basis, for issuance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4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04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320" w:type="dxa"/>
            <w:vAlign w:val="bottom"/>
            <w:tcBorders>
              <w:top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8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Conversion of convertible preferred stock</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47,267,466</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47,267,466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Common stock options outstanding</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8,354,874</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9,806,689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available for grant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612,604</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2,125,875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Warrant to purchase convertible preferred stock</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19,637</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19,637</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401(k) Matching Plan</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47,975</w:t>
            </w:r>
          </w:p>
        </w:tc>
        <w:tc>
          <w:tcPr>
            <w:tcW w:w="26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36,751</w:t>
            </w:r>
          </w:p>
        </w:tc>
        <w:tc>
          <w:tcPr>
            <w:tcW w:w="80" w:type="dxa"/>
            <w:vAlign w:val="bottom"/>
            <w:shd w:val="clear" w:color="auto" w:fill="CCEEFF"/>
          </w:tcPr>
          <w:p>
            <w:pPr>
              <w:spacing w:after="0"/>
              <w:rPr>
                <w:sz w:val="17"/>
                <w:szCs w:val="17"/>
                <w:color w:val="auto"/>
              </w:rPr>
            </w:pPr>
          </w:p>
        </w:tc>
      </w:tr>
      <w:tr>
        <w:trPr>
          <w:trHeight w:val="210"/>
        </w:trPr>
        <w:tc>
          <w:tcPr>
            <w:tcW w:w="8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56,302,556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59,256,418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2018, the Company adopted the 2018 Equity Incentive Plan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December 31, 2018, 12,681,305 shares of common stock have been authorized for issuance under the 2018 Plan. The Company’s 2008 Equity Incentive Plan (the 2008 Plan) expired at the beginning of 2018.</w:t>
      </w:r>
    </w:p>
    <w:p>
      <w:pPr>
        <w:spacing w:after="0" w:line="197"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determined the fair value of common stock using valuations prepared by an unrelated third-party valuation firm.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4"/>
                <w:szCs w:val="14"/>
                <w:b w:val="1"/>
                <w:bCs w:val="1"/>
                <w:color w:val="auto"/>
              </w:rPr>
              <w:t>Outstanding Options</w:t>
            </w:r>
          </w:p>
        </w:tc>
        <w:tc>
          <w:tcPr>
            <w:tcW w:w="4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ind w:left="220"/>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Available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Contractual Life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Grant</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51"/>
              <w:spacing w:after="0"/>
              <w:rPr>
                <w:sz w:val="20"/>
                <w:szCs w:val="20"/>
                <w:color w:val="auto"/>
              </w:rPr>
            </w:pPr>
            <w:r>
              <w:rPr>
                <w:rFonts w:ascii="Arial" w:cs="Arial" w:eastAsia="Arial" w:hAnsi="Arial"/>
                <w:sz w:val="14"/>
                <w:szCs w:val="14"/>
                <w:b w:val="1"/>
                <w:bCs w:val="1"/>
                <w:color w:val="auto"/>
              </w:rPr>
              <w:t>Price</w:t>
            </w:r>
          </w:p>
        </w:tc>
        <w:tc>
          <w:tcPr>
            <w:tcW w:w="4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1480" w:type="dxa"/>
            <w:vAlign w:val="bottom"/>
            <w:gridSpan w:val="4"/>
          </w:tcPr>
          <w:p>
            <w:pPr>
              <w:jc w:val="center"/>
              <w:ind w:left="2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2016</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2,209,595</w:t>
            </w: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6,873,061</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7.16</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75,895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(1,888,625)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1,888,625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7.70</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(117,398)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cancelled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289,414</w:t>
            </w:r>
          </w:p>
        </w:tc>
        <w:tc>
          <w:tcPr>
            <w:tcW w:w="5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(289,414)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repurchased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2,220</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Balances at December 31, 2017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612,604</w:t>
            </w:r>
          </w:p>
        </w:tc>
        <w:tc>
          <w:tcPr>
            <w:tcW w:w="5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8,354,874</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shares reserved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3,695,698</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(2,781,900)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2,781,900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9.34</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(730,956)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cancelled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599,129</w:t>
            </w:r>
          </w:p>
        </w:tc>
        <w:tc>
          <w:tcPr>
            <w:tcW w:w="50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(599,129)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repurchased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Balances at December 31,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2,125,875</w:t>
            </w:r>
          </w:p>
        </w:tc>
        <w:tc>
          <w:tcPr>
            <w:tcW w:w="5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9,806,689</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December 31, 2018</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9,454,737</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5.76</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6.54</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101,547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Outstanding and exercisable as of December 31,</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jc w:val="right"/>
              <w:ind w:right="3950"/>
              <w:spacing w:after="0" w:line="203" w:lineRule="exact"/>
              <w:rPr>
                <w:sz w:val="20"/>
                <w:szCs w:val="20"/>
                <w:color w:val="auto"/>
              </w:rPr>
            </w:pPr>
            <w:r>
              <w:rPr>
                <w:rFonts w:ascii="Arial" w:cs="Arial" w:eastAsia="Arial" w:hAnsi="Arial"/>
                <w:sz w:val="18"/>
                <w:szCs w:val="18"/>
                <w:color w:val="auto"/>
              </w:rPr>
              <w:t>2018</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9,806,689</w:t>
            </w:r>
          </w:p>
        </w:tc>
        <w:tc>
          <w:tcPr>
            <w:tcW w:w="260" w:type="dxa"/>
            <w:vAlign w:val="bottom"/>
          </w:tcPr>
          <w:p>
            <w:pPr>
              <w:spacing w:after="0"/>
              <w:rPr>
                <w:sz w:val="17"/>
                <w:szCs w:val="17"/>
                <w:color w:val="auto"/>
              </w:rPr>
            </w:pPr>
          </w:p>
        </w:tc>
        <w:tc>
          <w:tcPr>
            <w:tcW w:w="340" w:type="dxa"/>
            <w:vAlign w:val="bottom"/>
            <w:gridSpan w:val="2"/>
          </w:tcPr>
          <w:p>
            <w:pPr>
              <w:ind w:left="220"/>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5.86</w:t>
            </w:r>
          </w:p>
        </w:tc>
        <w:tc>
          <w:tcPr>
            <w:tcW w:w="15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6.62</w:t>
            </w:r>
          </w:p>
        </w:tc>
        <w:tc>
          <w:tcPr>
            <w:tcW w:w="5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105,226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240" w:firstLine="551"/>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3"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2017 and 2018 was $7.70 and $9.34 per share, respectively. The intrinsic value of stock</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60" w:right="4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440"/>
        <w:spacing w:after="0"/>
        <w:rPr>
          <w:sz w:val="20"/>
          <w:szCs w:val="20"/>
          <w:color w:val="auto"/>
        </w:rPr>
      </w:pPr>
      <w:r>
        <w:rPr>
          <w:rFonts w:ascii="Arial" w:cs="Arial" w:eastAsia="Arial" w:hAnsi="Arial"/>
          <w:sz w:val="18"/>
          <w:szCs w:val="18"/>
          <w:color w:val="auto"/>
        </w:rPr>
        <w:t>options exercised was $0.5 million and $1.9 million for the years ended December 31, 2017 and 2018, respectively. Because of the Company’s net operating losses, the Company did not realize any tax benefits from stock-based payment arrangements for the years ended December 31, 2017 and 2018.</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Early Exercise of Stock Options</w:t>
      </w:r>
    </w:p>
    <w:p>
      <w:pPr>
        <w:spacing w:after="0" w:line="12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5"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At December 31, 2017 there were 113,827 shares of common stock outstanding, subject to the Company’s right of repurchase at prices ranging from $2.16 to $7.64 per share. At December 31, 2018, there were 205,108 shares of common stock outstanding, subject to the Company’s right of repurchase at prices ranging from $4.00 to $8.14 per share. At December 31, 2017 and 2018, the Company recorded $0.4 million and $1.6 million, respectively, as early exercise stock option liabilities associated with shares issued with repurchase rights.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2"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Employee and director stock-based compensation expense for the years ended December 31, 2017 and 2018, was calculated based on awards ultimately expected to vest and has been reduced for estimated forfeitures. The following table summarizes stock-based compensation expense related to stock-based payment awards to employees and directors for the years ended December 31, 2017 and 2018, which was allocated as follows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80" w:type="dxa"/>
            <w:vAlign w:val="bottom"/>
            <w:tcBorders>
              <w:top w:val="single" w:sz="8" w:color="auto"/>
            </w:tcBorders>
          </w:tcPr>
          <w:p>
            <w:pPr>
              <w:jc w:val="right"/>
              <w:ind w:right="61"/>
              <w:spacing w:after="0" w:line="155" w:lineRule="exact"/>
              <w:rPr>
                <w:sz w:val="20"/>
                <w:szCs w:val="20"/>
                <w:color w:val="auto"/>
              </w:rPr>
            </w:pPr>
            <w:r>
              <w:rPr>
                <w:rFonts w:ascii="Arial" w:cs="Arial" w:eastAsia="Arial" w:hAnsi="Arial"/>
                <w:sz w:val="14"/>
                <w:szCs w:val="14"/>
                <w:b w:val="1"/>
                <w:bCs w:val="1"/>
                <w:color w:val="auto"/>
              </w:rPr>
              <w:t>2017</w:t>
            </w:r>
          </w:p>
        </w:tc>
        <w:tc>
          <w:tcPr>
            <w:tcW w:w="94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3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$4,473</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$5,232</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62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2,994</w:t>
            </w:r>
          </w:p>
        </w:tc>
        <w:tc>
          <w:tcPr>
            <w:tcW w:w="36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4,524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7,467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9,756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Valuation Assumptions</w:t>
      </w:r>
    </w:p>
    <w:p>
      <w:pPr>
        <w:spacing w:after="0" w:line="122"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valuation assumptions: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924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1.73%</w:t>
            </w:r>
          </w:p>
        </w:tc>
        <w:tc>
          <w:tcPr>
            <w:tcW w:w="7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2.59%</w:t>
            </w:r>
          </w:p>
        </w:tc>
      </w:tr>
      <w:tr>
        <w:trPr>
          <w:trHeight w:val="203"/>
        </w:trPr>
        <w:tc>
          <w:tcPr>
            <w:tcW w:w="20" w:type="dxa"/>
            <w:vAlign w:val="bottom"/>
          </w:tcPr>
          <w:p>
            <w:pPr>
              <w:spacing w:after="0"/>
              <w:rPr>
                <w:sz w:val="17"/>
                <w:szCs w:val="17"/>
                <w:color w:val="auto"/>
              </w:rPr>
            </w:pPr>
          </w:p>
        </w:tc>
        <w:tc>
          <w:tcPr>
            <w:tcW w:w="9240" w:type="dxa"/>
            <w:vAlign w:val="bottom"/>
          </w:tcPr>
          <w:p>
            <w:pPr>
              <w:spacing w:after="0" w:line="202" w:lineRule="exact"/>
              <w:rPr>
                <w:sz w:val="20"/>
                <w:szCs w:val="20"/>
                <w:color w:val="auto"/>
              </w:rPr>
            </w:pPr>
            <w:r>
              <w:rPr>
                <w:rFonts w:ascii="Arial" w:cs="Arial" w:eastAsia="Arial" w:hAnsi="Arial"/>
                <w:sz w:val="18"/>
                <w:szCs w:val="18"/>
                <w:color w:val="auto"/>
              </w:rPr>
              <w:t>Expected term of options (in years)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5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75.48%</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64.60%</w:t>
            </w:r>
          </w:p>
        </w:tc>
      </w:tr>
      <w:tr>
        <w:trPr>
          <w:trHeight w:val="217"/>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Expected Dividends</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82" w:lineRule="exact"/>
        <w:rPr>
          <w:sz w:val="20"/>
          <w:szCs w:val="20"/>
          <w:color w:val="auto"/>
        </w:rPr>
      </w:pPr>
    </w:p>
    <w:p>
      <w:pPr>
        <w:ind w:left="760" w:right="240"/>
        <w:spacing w:after="0" w:line="271" w:lineRule="auto"/>
        <w:rPr>
          <w:sz w:val="20"/>
          <w:szCs w:val="20"/>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industry over periods commensurate with the Company’s expected term assumption.</w:t>
      </w:r>
    </w:p>
    <w:p>
      <w:pPr>
        <w:spacing w:after="0" w:line="46"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granted is derived using the “simplified” method (that is, estimating the expected term as the midpoint between the vesting date and the end of the contractual term for each option).</w:t>
      </w:r>
    </w:p>
    <w:p>
      <w:pPr>
        <w:spacing w:after="0" w:line="61"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Company bases the risk-free interest rate on the interest rate payable on U.S. Treasury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effect at the time of grant for a period that is commensurate with the assumed expected option term.</w:t>
      </w:r>
    </w:p>
    <w:p>
      <w:pPr>
        <w:spacing w:after="0" w:line="46" w:lineRule="exact"/>
        <w:rPr>
          <w:sz w:val="20"/>
          <w:szCs w:val="20"/>
          <w:color w:val="auto"/>
        </w:rPr>
      </w:pPr>
    </w:p>
    <w:p>
      <w:pPr>
        <w:ind w:left="760" w:right="300"/>
        <w:spacing w:after="0" w:line="271" w:lineRule="auto"/>
        <w:rPr>
          <w:sz w:val="20"/>
          <w:szCs w:val="20"/>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Company has not historically paid, and does not expect for the foreseeable future to pay,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w:t>
      </w:r>
    </w:p>
    <w:p>
      <w:pPr>
        <w:spacing w:after="0" w:line="176"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As of December 31, 2018, there was approximately $16.7 million in total unrecognized compensation expense, net of estimated forfeitures, related to unvested options granted to employees and directors under the 2008 and 2018 Plans. The expense is expected to be recognized over a weighted-average period of 2.79 years.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 Granted to Non-employees</w:t>
      </w:r>
    </w:p>
    <w:p>
      <w:pPr>
        <w:spacing w:after="0" w:line="126"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During the years ended December 31, 2017 and 2018, the Company did not grant any options to purchase shares of common stock to non-employees. The following table summarizes stock-based compensation expense related to stock-based payment awards to non-employees for the years ended December 31, 2017 and 2018, which was allocated as follows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60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$250</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$103</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000" w:type="dxa"/>
            <w:vAlign w:val="bottom"/>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420" w:type="dxa"/>
            <w:vAlign w:val="bottom"/>
            <w:gridSpan w:val="2"/>
          </w:tcPr>
          <w:p>
            <w:pPr>
              <w:jc w:val="right"/>
              <w:ind w:right="4401"/>
              <w:spacing w:after="0"/>
              <w:rPr>
                <w:sz w:val="20"/>
                <w:szCs w:val="20"/>
                <w:color w:val="auto"/>
              </w:rPr>
            </w:pPr>
            <w:r>
              <w:rPr>
                <w:rFonts w:ascii="Arial" w:cs="Arial" w:eastAsia="Arial" w:hAnsi="Arial"/>
                <w:sz w:val="18"/>
                <w:szCs w:val="18"/>
                <w:color w:val="auto"/>
              </w:rPr>
              <w:t>F-34</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The fair value of stock option awards granted to non-employees was estimated at the date of grant using the Black-Scholes option-pricing model with the following weighted-average valuation assumptions: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44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144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580" w:type="dxa"/>
            <w:vAlign w:val="bottom"/>
          </w:tcPr>
          <w:p>
            <w:pPr>
              <w:spacing w:after="0"/>
              <w:rPr>
                <w:sz w:val="13"/>
                <w:szCs w:val="13"/>
                <w:color w:val="auto"/>
              </w:rPr>
            </w:pPr>
          </w:p>
        </w:tc>
        <w:tc>
          <w:tcPr>
            <w:tcW w:w="520" w:type="dxa"/>
            <w:vAlign w:val="bottom"/>
            <w:tcBorders>
              <w:top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tcPr>
          <w:p>
            <w:pPr>
              <w:spacing w:after="0" w:line="202" w:lineRule="exact"/>
              <w:rPr>
                <w:sz w:val="20"/>
                <w:szCs w:val="20"/>
                <w:color w:val="auto"/>
              </w:rPr>
            </w:pPr>
            <w:r>
              <w:rPr>
                <w:rFonts w:ascii="Arial" w:cs="Arial" w:eastAsia="Arial" w:hAnsi="Arial"/>
                <w:sz w:val="18"/>
                <w:szCs w:val="18"/>
                <w:color w:val="auto"/>
              </w:rPr>
              <w:t>Term of options (in years)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6.95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64.93%</w:t>
            </w:r>
          </w:p>
        </w:tc>
        <w:tc>
          <w:tcPr>
            <w:tcW w:w="2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Expected Dividends</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In general, the options vest over the contractual periods of the respective non-employee arrangement. The Company revalues the options each reporting period and, accordingly, adjusts the compensation expense related to these options over the remaining vesting periods. As of December 31, 2017 and 2018, non-employee stock options to purchase 31,876 and 16,042 shares, respectively, remain unvested. There were no options granted to non-employees during the year ended December 31, 2018.</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Income Taxes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Cuts and Jobs Act of 2017</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December 2017, the 2017 Tax Cuts and Jobs Act (the “2017 Tax Act”) was enacted and includes a broad range of provisions, many of which differ significantly from those contained in previous U.S. tax law. The Company accounts for changes in tax law in accordance with ASC 740 which requires companies to recognize the effect of such changes in the period of enactment. However, the SEC staff issued Staff Accounting Bulletin 118 which will allow companies to record provisional amounts during a measurement period that is similar to the measurement period used when accounting for business combinations. Accordingly, the Company adjusted its deferred taxes and related valuation allowances on a provisional basis to reflect the reduction in U.S. federal corporate tax rate from 35% to 21%, based on current understanding of the new law. As of December 31, 2018, the Company has completed its analysis of the income effects of the 2017 Tax Act. There was no material impact on the Company’s consolidated financial statements as a result of the analysis.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200" w:right="540" w:firstLine="551"/>
        <w:spacing w:after="0" w:line="246" w:lineRule="auto"/>
        <w:rPr>
          <w:sz w:val="20"/>
          <w:szCs w:val="20"/>
          <w:color w:val="auto"/>
        </w:rPr>
      </w:pPr>
      <w:r>
        <w:rPr>
          <w:rFonts w:ascii="Arial" w:cs="Arial" w:eastAsia="Arial" w:hAnsi="Arial"/>
          <w:sz w:val="18"/>
          <w:szCs w:val="18"/>
          <w:color w:val="auto"/>
        </w:rPr>
        <w:t>The benefit from income taxes was $1.0 million for the year ended December 31, 2017, related to the receivable for refund of Company’s AMT carryovers. There was no provision or benefit for the year ended December 31, 2018.</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the Company’s losses before income taxes were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(8,974)</w:t>
            </w: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$ 5,502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(6,245)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8"/>
              </w:rPr>
              <w:t>(5,995)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60" w:type="dxa"/>
            <w:vAlign w:val="bottom"/>
            <w:gridSpan w:val="6"/>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(15,219)</w:t>
            </w: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540"/>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gridSpan w:val="3"/>
          </w:tcPr>
          <w:p>
            <w:pPr>
              <w:jc w:val="right"/>
              <w:ind w:right="3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federal tax at statutory rate</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Foreign rate differential</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109.5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 net of federal benefit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7"/>
              </w:rPr>
              <w:t>(14.5)</w:t>
            </w:r>
          </w:p>
        </w:tc>
        <w:tc>
          <w:tcPr>
            <w:tcW w:w="200" w:type="dxa"/>
            <w:vAlign w:val="bottom"/>
          </w:tcPr>
          <w:p>
            <w:pPr>
              <w:spacing w:after="0"/>
              <w:rPr>
                <w:sz w:val="17"/>
                <w:szCs w:val="17"/>
                <w:color w:val="auto"/>
              </w:rPr>
            </w:pPr>
          </w:p>
        </w:tc>
        <w:tc>
          <w:tcPr>
            <w:tcW w:w="8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(93.1)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401.6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Remeasurement of deferred taxes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7"/>
              </w:rPr>
              <w:t>(85.0)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540"/>
              <w:spacing w:after="0"/>
              <w:rPr>
                <w:sz w:val="20"/>
                <w:szCs w:val="20"/>
                <w:color w:val="auto"/>
              </w:rPr>
            </w:pPr>
            <w:r>
              <w:rPr>
                <w:rFonts w:ascii="Arial" w:cs="Arial" w:eastAsia="Arial" w:hAnsi="Arial"/>
                <w:sz w:val="18"/>
                <w:szCs w:val="18"/>
                <w:color w:val="auto"/>
              </w:rPr>
              <w:t>The components of the net deferred tax assets are as follows (in thousands):</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$ 22,964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$ 26,545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4,957</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8,819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temporary differences</w:t>
            </w:r>
          </w:p>
        </w:tc>
        <w:tc>
          <w:tcPr>
            <w:tcW w:w="340" w:type="dxa"/>
            <w:vAlign w:val="bottom"/>
            <w:shd w:val="clear" w:color="auto" w:fill="CCEEFF"/>
          </w:tcPr>
          <w:p>
            <w:pPr>
              <w:spacing w:after="0"/>
              <w:rPr>
                <w:sz w:val="17"/>
                <w:szCs w:val="17"/>
                <w:color w:val="auto"/>
              </w:rPr>
            </w:pPr>
          </w:p>
        </w:tc>
        <w:tc>
          <w:tcPr>
            <w:tcW w:w="7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3,234</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39,974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37,651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6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(1,218)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8"/>
              </w:rPr>
              <w:t>(1,368)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stock options with 83(b) election</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340" w:type="dxa"/>
            <w:vAlign w:val="bottom"/>
          </w:tcPr>
          <w:p>
            <w:pPr>
              <w:spacing w:after="0"/>
              <w:rPr>
                <w:sz w:val="18"/>
                <w:szCs w:val="18"/>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 before valuation allowance</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38,411</w:t>
            </w:r>
          </w:p>
        </w:tc>
        <w:tc>
          <w:tcPr>
            <w:tcW w:w="2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36,229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340" w:type="dxa"/>
            <w:vAlign w:val="bottom"/>
          </w:tcPr>
          <w:p>
            <w:pPr>
              <w:spacing w:after="0"/>
              <w:rPr>
                <w:sz w:val="17"/>
                <w:szCs w:val="17"/>
                <w:color w:val="auto"/>
              </w:rPr>
            </w:pPr>
          </w:p>
        </w:tc>
        <w:tc>
          <w:tcPr>
            <w:tcW w:w="92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(38,411)</w:t>
            </w:r>
          </w:p>
        </w:tc>
        <w:tc>
          <w:tcPr>
            <w:tcW w:w="200" w:type="dxa"/>
            <w:vAlign w:val="bottom"/>
          </w:tcPr>
          <w:p>
            <w:pPr>
              <w:spacing w:after="0"/>
              <w:rPr>
                <w:sz w:val="17"/>
                <w:szCs w:val="17"/>
                <w:color w:val="auto"/>
              </w:rPr>
            </w:pPr>
          </w:p>
        </w:tc>
        <w:tc>
          <w:tcPr>
            <w:tcW w:w="1000" w:type="dxa"/>
            <w:vAlign w:val="bottom"/>
            <w:gridSpan w:val="6"/>
          </w:tcPr>
          <w:p>
            <w:pPr>
              <w:jc w:val="right"/>
              <w:ind w:right="80"/>
              <w:spacing w:after="0" w:line="202" w:lineRule="exact"/>
              <w:rPr>
                <w:sz w:val="20"/>
                <w:szCs w:val="20"/>
                <w:color w:val="auto"/>
              </w:rPr>
            </w:pPr>
            <w:r>
              <w:rPr>
                <w:rFonts w:ascii="Arial" w:cs="Arial" w:eastAsia="Arial" w:hAnsi="Arial"/>
                <w:sz w:val="18"/>
                <w:szCs w:val="18"/>
                <w:color w:val="auto"/>
              </w:rPr>
              <w:t>(36,229)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540" w:type="dxa"/>
            <w:vAlign w:val="bottom"/>
            <w:gridSpan w:val="2"/>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from the above-mentioned future tax benefits is currently not likely to be realized and, accordingly, has provided a valuation allowance.</w:t>
      </w:r>
    </w:p>
    <w:p>
      <w:pPr>
        <w:spacing w:after="0" w:line="212" w:lineRule="exact"/>
        <w:rPr>
          <w:sz w:val="20"/>
          <w:szCs w:val="20"/>
          <w:color w:val="auto"/>
        </w:rPr>
      </w:pPr>
    </w:p>
    <w:p>
      <w:pPr>
        <w:ind w:left="200" w:right="780" w:firstLine="551"/>
        <w:spacing w:after="0"/>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decreased by approximately $2.2 million and $1.3 million during the years ended December 31, 2017 and 2018, respectively.</w:t>
      </w:r>
    </w:p>
    <w:p>
      <w:pPr>
        <w:spacing w:after="0" w:line="203"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As of December 31, 2017 and 2018, the Company had approximately $60.2 million and $69.8 million, respectively, in federal net operating loss carryforwards and had approximately $71.8 million and $71.9 million, respectively, in state net operating loss carryforwards to reduce future taxable income. The federal and state net operating loss carryforwards will begin to expire in the years 2028 through 2037, if not utilized. Federal NOL carryforwards generated after December 31, 2017 do not expire as per the Tax Cuts and Jobs Act (the Act), and can be carried forward indefinitely. California does not conform to these provisions.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2017 and 2018, the Company had approximately $3.1 million and $3.1 million, respectively, in federal, and</w:t>
      </w:r>
    </w:p>
    <w:p>
      <w:pPr>
        <w:ind w:left="200"/>
        <w:spacing w:after="0" w:line="234" w:lineRule="auto"/>
        <w:rPr>
          <w:sz w:val="20"/>
          <w:szCs w:val="20"/>
          <w:color w:val="auto"/>
        </w:rPr>
      </w:pPr>
      <w:r>
        <w:rPr>
          <w:rFonts w:ascii="Arial" w:cs="Arial" w:eastAsia="Arial" w:hAnsi="Arial"/>
          <w:sz w:val="18"/>
          <w:szCs w:val="18"/>
          <w:color w:val="auto"/>
        </w:rPr>
        <w:t>$4.0 million and $4.0 million, respectively, in state research and development tax credits. The federal research credits will begin to expire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years 2028 through 2037, if not utilized, and the state research and development credits have no expiration date.</w:t>
      </w:r>
    </w:p>
    <w:p>
      <w:pPr>
        <w:spacing w:after="0" w:line="212"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As of December 31, 2017 and 2018, the Company had foreign net operating loss carryforwards of approximately $17.3 million and $22.9 million, which have no expiration date.</w:t>
      </w:r>
    </w:p>
    <w:p>
      <w:pPr>
        <w:spacing w:after="0" w:line="197"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w:t>
      </w:r>
    </w:p>
    <w:p>
      <w:pPr>
        <w:spacing w:after="0" w:line="203"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A reconciliation of the Company’s unrecognized tax benefits for the years ended December 31, 2017 and 2018 is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8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80" w:type="dxa"/>
            <w:vAlign w:val="bottom"/>
            <w:tcBorders>
              <w:top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2017</w:t>
            </w:r>
          </w:p>
        </w:tc>
        <w:tc>
          <w:tcPr>
            <w:tcW w:w="94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2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$1,528</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$1,528</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Additions (deletions) based on tax positions related to prior year</w:t>
            </w:r>
          </w:p>
        </w:tc>
        <w:tc>
          <w:tcPr>
            <w:tcW w:w="218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2,291</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year</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1,528</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3,819</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There is approximately $3.8 million of unrecognized tax benefits included in the balance sheet that would, if recognized, affect the effective tax rate before consideration of valuation allowance. The Company does not believe that its unrecognized tax benefits will significantly change within the next 12 months.</w:t>
      </w:r>
    </w:p>
    <w:p>
      <w:pPr>
        <w:spacing w:after="0" w:line="203" w:lineRule="exact"/>
        <w:rPr>
          <w:sz w:val="20"/>
          <w:szCs w:val="20"/>
          <w:color w:val="auto"/>
        </w:rPr>
      </w:pPr>
    </w:p>
    <w:p>
      <w:pPr>
        <w:ind w:left="200" w:right="760" w:firstLine="551"/>
        <w:spacing w:after="0" w:line="246" w:lineRule="auto"/>
        <w:rPr>
          <w:sz w:val="20"/>
          <w:szCs w:val="20"/>
          <w:color w:val="auto"/>
        </w:rPr>
      </w:pPr>
      <w:r>
        <w:rPr>
          <w:rFonts w:ascii="Arial" w:cs="Arial" w:eastAsia="Arial" w:hAnsi="Arial"/>
          <w:sz w:val="18"/>
          <w:szCs w:val="18"/>
          <w:color w:val="auto"/>
        </w:rPr>
        <w:t>It is the Company’s practice to recognize interest and penalties related to income tax matters in income tax expense. As of December 31, 2017 and 2018, the Company had no accrued interest and penalties related to uncertain tax positions.</w:t>
      </w:r>
    </w:p>
    <w:p>
      <w:pPr>
        <w:spacing w:after="0" w:line="197"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The Company files federal, state, and foreign income tax returns with varying statutes of limitations. The tax years from inception in 2008 forward remain open to examination due to the carryover of unused net operating losses and tax credits.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Employee Benefit Plan</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Company sponsors a 401(k) defined contribution plan for its employees. Employee contributions are voluntary. In December 2011, the Company adopted the 401(k) Matching Plan, whereby the Company will make matching contributions in the form of common stock at a rate of $1.00 for each $2.00 of employee contributions up to a maximum $1,500 of common stock per year. As of December 31, 2017 and 2018, the Company had reserved 47,975 and 36,751 shares of common stock for issuance pursuant to the 401(k) Matching Plan, respectively. Matching contributions of 10,660 and 11,223 shares, or $93,000 and $103,000 were issued for the years ended December 31, 2017 and 2018, respectively.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Subsequent Events</w:t>
      </w:r>
    </w:p>
    <w:p>
      <w:pPr>
        <w:spacing w:after="0" w:line="126" w:lineRule="exact"/>
        <w:rPr>
          <w:sz w:val="20"/>
          <w:szCs w:val="20"/>
          <w:color w:val="auto"/>
        </w:rPr>
      </w:pPr>
    </w:p>
    <w:p>
      <w:pPr>
        <w:ind w:left="200" w:right="280" w:firstLine="551"/>
        <w:spacing w:after="0" w:line="246" w:lineRule="auto"/>
        <w:rPr>
          <w:sz w:val="20"/>
          <w:szCs w:val="20"/>
          <w:color w:val="auto"/>
        </w:rPr>
      </w:pPr>
      <w:r>
        <w:rPr>
          <w:rFonts w:ascii="Arial" w:cs="Arial" w:eastAsia="Arial" w:hAnsi="Arial"/>
          <w:sz w:val="18"/>
          <w:szCs w:val="18"/>
          <w:color w:val="auto"/>
        </w:rPr>
        <w:t>For the consolidated financial statements as of the years ended December 31, 2017 and 2018, the Company has reviewed and evaluated material subsequent events through the consolidated financial statements’ issuance date of March 25, 2019.</w:t>
      </w:r>
    </w:p>
    <w:p>
      <w:pPr>
        <w:spacing w:after="0" w:line="197" w:lineRule="exact"/>
        <w:rPr>
          <w:sz w:val="20"/>
          <w:szCs w:val="20"/>
          <w:color w:val="auto"/>
        </w:rPr>
      </w:pPr>
    </w:p>
    <w:p>
      <w:pPr>
        <w:ind w:left="200" w:right="620" w:firstLine="551"/>
        <w:spacing w:after="0" w:line="246" w:lineRule="auto"/>
        <w:rPr>
          <w:sz w:val="20"/>
          <w:szCs w:val="20"/>
          <w:color w:val="auto"/>
        </w:rPr>
      </w:pPr>
      <w:r>
        <w:rPr>
          <w:rFonts w:ascii="Arial" w:cs="Arial" w:eastAsia="Arial" w:hAnsi="Arial"/>
          <w:sz w:val="18"/>
          <w:szCs w:val="18"/>
          <w:color w:val="auto"/>
        </w:rPr>
        <w:t>On February 3, 2019, all warrants for preferred stock automatically net exercised into 16,380 shares of Series A convertible preferred stock.</w:t>
      </w:r>
    </w:p>
    <w:p>
      <w:pPr>
        <w:spacing w:after="0" w:line="19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On March 1, 2019, Merck notified the Company of its intent to terminate its license to the GDF15 receptor agonist program, effective May 31, 2019. Upon termination of the license, the Company will regain full rights to the program, which includes NGM386 and NGM395. The Company expects to decide whether to advance NGM386 and/or NGM395 following an analysis of the results of the NGM386 Phase 1 study.</w:t>
      </w:r>
    </w:p>
    <w:p>
      <w:pPr>
        <w:spacing w:after="0" w:line="202"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On March 15, 2019, Merck exercised its option to extend the collaboration through March 17, 2022. In lieu of a $20.0 million extension fee payable to NGM, during such two year extension period Merck will make additional payments totaling up to $20.0 million in support of NGM’s research and development activities across 2021 and the first quarter of 2022.</w:t>
      </w:r>
    </w:p>
    <w:p>
      <w:pPr>
        <w:spacing w:after="0" w:line="203"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On March 22, 2019, the Company effected a one-for-two reverse stock split of its outstanding capital stock, as described in Note 2, “Summary of Significant Accounting Policies.”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60"/>
          </w:cols>
          <w:pgMar w:left="240" w:top="460" w:right="499" w:bottom="1440" w:gutter="0" w:footer="0" w:header="0"/>
        </w:sectPr>
      </w:pPr>
    </w:p>
    <w:bookmarkStart w:id="249" w:name="page250"/>
    <w:bookmarkEnd w:id="2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60" w:right="439"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auto"/>
        </w:rPr>
        <w:t>6,666,667 Shares</w:t>
      </w: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1660525</wp:posOffset>
            </wp:positionV>
            <wp:extent cx="10547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3469640</wp:posOffset>
            </wp:positionV>
            <wp:extent cx="10547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1925955</wp:posOffset>
            </wp:positionV>
            <wp:extent cx="2272665" cy="12433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7266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tabs>
          <w:tab w:leader="none" w:pos="6480" w:val="left"/>
          <w:tab w:leader="none" w:pos="1026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8"/>
          <w:szCs w:val="28"/>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right="180" w:firstLine="551"/>
        <w:spacing w:after="0" w:line="247" w:lineRule="auto"/>
        <w:rPr>
          <w:sz w:val="20"/>
          <w:szCs w:val="20"/>
          <w:color w:val="auto"/>
        </w:rPr>
      </w:pPr>
      <w:r>
        <w:rPr>
          <w:rFonts w:ascii="Arial" w:cs="Arial" w:eastAsia="Arial" w:hAnsi="Arial"/>
          <w:sz w:val="18"/>
          <w:szCs w:val="18"/>
          <w:b w:val="1"/>
          <w:bCs w:val="1"/>
          <w:color w:val="auto"/>
        </w:rPr>
        <w:t>Through and including April 28,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6997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210820</wp:posOffset>
            </wp:positionV>
            <wp:extent cx="699770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60" w:right="439" w:bottom="6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1)"/>
      <w:numFmt w:val="decimal"/>
      <w:start w:val="1"/>
    </w:lvl>
  </w:abstractNum>
  <w:abstractNum w:abstractNumId="10">
    <w:nsid w:val="47398C89"/>
    <w:multiLevelType w:val="hybridMultilevel"/>
    <w:lvl w:ilvl="0">
      <w:lvlJc w:val="left"/>
      <w:lvlText w:val="(%1)"/>
      <w:numFmt w:val="decimal"/>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1)"/>
      <w:numFmt w:val="decimal"/>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1)"/>
      <w:numFmt w:val="decimal"/>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1)"/>
      <w:numFmt w:val="decimal"/>
      <w:start w:val="1"/>
    </w:lvl>
  </w:abstractNum>
  <w:abstractNum w:abstractNumId="49">
    <w:nsid w:val="A0382C5"/>
    <w:multiLevelType w:val="hybridMultilevel"/>
    <w:lvl w:ilvl="0">
      <w:lvlJc w:val="left"/>
      <w:lvlText w:val="(%1)"/>
      <w:numFmt w:val="decimal"/>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lvl w:ilvl="1">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
      <w:numFmt w:val="bullet"/>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1)"/>
      <w:numFmt w:val="decimal"/>
      <w:start w:val="1"/>
    </w:lvl>
  </w:abstractNum>
  <w:abstractNum w:abstractNumId="72">
    <w:nsid w:val="74DE0EE3"/>
    <w:multiLevelType w:val="hybridMultilevel"/>
    <w:lvl w:ilvl="0">
      <w:lvlJc w:val="left"/>
      <w:lvlText w:val="•"/>
      <w:numFmt w:val="bullet"/>
      <w:start w:val="1"/>
    </w:lvl>
  </w:abstractNum>
  <w:abstractNum w:abstractNumId="73">
    <w:nsid w:val="68EBC550"/>
    <w:multiLevelType w:val="hybridMultilevel"/>
    <w:lvl w:ilvl="0">
      <w:lvlJc w:val="left"/>
      <w:lvlText w:val="(%1)"/>
      <w:numFmt w:val="decimal"/>
      <w:start w:val="2"/>
    </w:lvl>
  </w:abstractNum>
  <w:abstractNum w:abstractNumId="74">
    <w:nsid w:val="2DF6D648"/>
    <w:multiLevelType w:val="hybridMultilevel"/>
    <w:lvl w:ilvl="0">
      <w:lvlJc w:val="left"/>
      <w:lvlText w:val="(%1)"/>
      <w:numFmt w:val="decimal"/>
      <w:start w:val="1"/>
    </w:lvl>
  </w:abstractNum>
  <w:abstractNum w:abstractNumId="75">
    <w:nsid w:val="46B7D447"/>
    <w:multiLevelType w:val="hybridMultilevel"/>
    <w:lvl w:ilvl="0">
      <w:lvlJc w:val="left"/>
      <w:lvlText w:val="(%1)"/>
      <w:numFmt w:val="decimal"/>
      <w:start w:val="1"/>
    </w:lvl>
  </w:abstractNum>
  <w:abstractNum w:abstractNumId="76">
    <w:nsid w:val="4A2AC315"/>
    <w:multiLevelType w:val="hybridMultilevel"/>
    <w:lvl w:ilvl="0">
      <w:lvlJc w:val="left"/>
      <w:lvlText w:val="(%1)"/>
      <w:numFmt w:val="lowerRoman"/>
      <w:start w:val="1"/>
    </w:lvl>
  </w:abstractNum>
  <w:abstractNum w:abstractNumId="77">
    <w:nsid w:val="39EE015C"/>
    <w:multiLevelType w:val="hybridMultilevel"/>
    <w:lvl w:ilvl="0">
      <w:lvlJc w:val="left"/>
      <w:lvlText w:val="(%1)"/>
      <w:numFmt w:val="decimal"/>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1)"/>
      <w:numFmt w:val="decimal"/>
      <w:start w:val="1"/>
    </w:lvl>
  </w:abstractNum>
  <w:abstractNum w:abstractNumId="83">
    <w:nsid w:val="7F01579B"/>
    <w:multiLevelType w:val="hybridMultilevel"/>
    <w:lvl w:ilvl="0">
      <w:lvlJc w:val="left"/>
      <w:lvlText w:val="(%1)"/>
      <w:numFmt w:val="decimal"/>
      <w:start w:val="3"/>
    </w:lvl>
    <w:lvl w:ilvl="1">
      <w:lvlJc w:val="left"/>
      <w:lvlText w:val="(%2)"/>
      <w:numFmt w:val="lowerRoman"/>
      <w:start w:val="2"/>
    </w:lvl>
  </w:abstractNum>
  <w:abstractNum w:abstractNumId="84">
    <w:nsid w:val="49DA307D"/>
    <w:multiLevelType w:val="hybridMultilevel"/>
    <w:lvl w:ilvl="0">
      <w:lvlJc w:val="left"/>
      <w:lvlText w:val="%1"/>
      <w:numFmt w:val="decimal"/>
      <w:start w:val="1"/>
    </w:lvl>
    <w:lvl w:ilvl="1">
      <w:lvlJc w:val="left"/>
      <w:lvlText w:val="(%2)"/>
      <w:numFmt w:val="lowerRoman"/>
      <w:start w:val="3"/>
    </w:lvl>
  </w:abstractNum>
  <w:abstractNum w:abstractNumId="85">
    <w:nsid w:val="7055A5F5"/>
    <w:multiLevelType w:val="hybridMultilevel"/>
    <w:lvl w:ilvl="0">
      <w:lvlJc w:val="left"/>
      <w:lvlText w:val="(%1)"/>
      <w:numFmt w:val="decimal"/>
      <w:start w:val="8"/>
    </w:lvl>
    <w:lvl w:ilvl="1">
      <w:lvlJc w:val="left"/>
      <w:lvlText w:val="(%2)"/>
      <w:numFmt w:val="lowerRoman"/>
      <w:start w:val="2"/>
    </w:lvl>
  </w:abstractNum>
  <w:abstractNum w:abstractNumId="86">
    <w:nsid w:val="5FB8370B"/>
    <w:multiLevelType w:val="hybridMultilevel"/>
    <w:lvl w:ilvl="0">
      <w:lvlJc w:val="left"/>
      <w:lvlText w:val="•"/>
      <w:numFmt w:val="bullet"/>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1)"/>
      <w:numFmt w:val="decimal"/>
      <w:start w:val="1"/>
    </w:lvl>
  </w:abstractNum>
  <w:abstractNum w:abstractNumId="100">
    <w:nsid w:val="14FCE74E"/>
    <w:multiLevelType w:val="hybridMultilevel"/>
    <w:lvl w:ilvl="0">
      <w:lvlJc w:val="left"/>
      <w:lvlText w:val="%1."/>
      <w:numFmt w:val="decimal"/>
      <w:start w:val="4"/>
    </w:lvl>
  </w:abstractNum>
  <w:abstractNum w:abstractNumId="101">
    <w:nsid w:val="6A3DD3E8"/>
    <w:multiLevelType w:val="hybridMultilevel"/>
    <w:lvl w:ilvl="0">
      <w:lvlJc w:val="left"/>
      <w:lvlText w:val="%1."/>
      <w:numFmt w:val="decimal"/>
      <w:start w:val="5"/>
    </w:lvl>
  </w:abstractNum>
  <w:abstractNum w:abstractNumId="102">
    <w:nsid w:val="71C91298"/>
    <w:multiLevelType w:val="hybridMultilevel"/>
    <w:lvl w:ilvl="0">
      <w:lvlJc w:val="left"/>
      <w:lvlText w:val="(%1)"/>
      <w:numFmt w:val="lowerRoman"/>
      <w:start w:val="2"/>
    </w:lvl>
  </w:abstractNum>
  <w:abstractNum w:abstractNumId="103">
    <w:nsid w:val="9DAF632"/>
    <w:multiLevelType w:val="hybridMultilevel"/>
    <w:lvl w:ilvl="0">
      <w:lvlJc w:val="left"/>
      <w:lvlText w:val="%1."/>
      <w:numFmt w:val="decimal"/>
      <w:start w:val="7"/>
    </w:lvl>
  </w:abstractNum>
  <w:abstractNum w:abstractNumId="104">
    <w:nsid w:val="53299938"/>
    <w:multiLevelType w:val="hybridMultilevel"/>
    <w:lvl w:ilvl="0">
      <w:lvlJc w:val="left"/>
      <w:lvlText w:val="%1."/>
      <w:numFmt w:val="decimal"/>
      <w:start w:val="8"/>
    </w:lvl>
  </w:abstractNum>
  <w:abstractNum w:abstractNumId="105">
    <w:nsid w:val="1FBFE8E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2019-12-03T15:17:03Z</dcterms:created>
  <dcterms:modified xsi:type="dcterms:W3CDTF">2019-12-03T15:17:03Z</dcterms:modified>
</cp:coreProperties>
</file>