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872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GOEDDEL DAVID V</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1" w:lineRule="exact"/>
              <w:rPr>
                <w:rFonts w:ascii="Arial" w:cs="Arial" w:eastAsia="Arial" w:hAnsi="Arial"/>
                <w:sz w:val="20"/>
                <w:szCs w:val="20"/>
                <w:color w:val="0000EE"/>
              </w:rPr>
            </w:pPr>
            <w:hyperlink r:id="rId13">
              <w:r>
                <w:rPr>
                  <w:rFonts w:ascii="Arial" w:cs="Arial" w:eastAsia="Arial" w:hAnsi="Arial"/>
                  <w:sz w:val="20"/>
                  <w:szCs w:val="20"/>
                  <w:color w:val="0000EE"/>
                </w:rPr>
                <w:t xml:space="preserve">NGM BIOPHARMACEUTICALS INC </w:t>
              </w:r>
            </w:hyperlink>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300" w:type="dxa"/>
            <w:vAlign w:val="bottom"/>
            <w:tcBorders>
              <w:top w:val="single" w:sz="8" w:color="0000EE"/>
            </w:tcBorders>
            <w:vMerge w:val="restart"/>
          </w:tcPr>
          <w:p>
            <w:pPr>
              <w:spacing w:after="0"/>
              <w:rPr>
                <w:sz w:val="20"/>
                <w:szCs w:val="20"/>
                <w:color w:val="auto"/>
              </w:rPr>
            </w:pPr>
            <w:r>
              <w:rPr>
                <w:rFonts w:ascii="Arial" w:cs="Arial" w:eastAsia="Arial" w:hAnsi="Arial"/>
                <w:sz w:val="17"/>
                <w:szCs w:val="17"/>
                <w:color w:val="0000FF"/>
              </w:rPr>
              <w:t xml:space="preserve">NGM </w:t>
            </w:r>
            <w:r>
              <w:rPr>
                <w:rFonts w:ascii="Arial" w:cs="Arial" w:eastAsia="Arial" w:hAnsi="Arial"/>
                <w:sz w:val="20"/>
                <w:szCs w:val="20"/>
                <w:color w:val="000000"/>
              </w:rPr>
              <w:t>]</w:t>
            </w:r>
          </w:p>
        </w:tc>
        <w:tc>
          <w:tcPr>
            <w:tcW w:w="46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00" w:type="dxa"/>
            <w:vAlign w:val="bottom"/>
            <w:tcBorders>
              <w:top w:val="single" w:sz="8" w:color="0000EE"/>
            </w:tcBorders>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5120" w:type="dxa"/>
            <w:vAlign w:val="bottom"/>
            <w:gridSpan w:val="5"/>
          </w:tcPr>
          <w:p>
            <w:pPr>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460" w:type="dxa"/>
            <w:vAlign w:val="bottom"/>
            <w:gridSpan w:val="4"/>
          </w:tcPr>
          <w:p>
            <w:pPr>
              <w:ind w:left="20"/>
              <w:spacing w:after="0"/>
              <w:rPr>
                <w:sz w:val="20"/>
                <w:szCs w:val="20"/>
                <w:color w:val="auto"/>
              </w:rPr>
            </w:pPr>
            <w:r>
              <w:rPr>
                <w:rFonts w:ascii="Arial" w:cs="Arial" w:eastAsia="Arial" w:hAnsi="Arial"/>
                <w:sz w:val="17"/>
                <w:szCs w:val="17"/>
                <w:color w:val="0000FF"/>
              </w:rPr>
              <w:t>1 LETTERMAN DRIVE</w:t>
            </w: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3760" w:type="dxa"/>
            <w:vAlign w:val="bottom"/>
            <w:tcBorders>
              <w:top w:val="single" w:sz="8" w:color="2C2C2C"/>
            </w:tcBorders>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60" w:type="dxa"/>
            <w:vAlign w:val="bottom"/>
            <w:gridSpan w:val="4"/>
            <w:vMerge w:val="restart"/>
          </w:tcPr>
          <w:p>
            <w:pPr>
              <w:ind w:left="20"/>
              <w:spacing w:after="0"/>
              <w:rPr>
                <w:sz w:val="20"/>
                <w:szCs w:val="20"/>
                <w:color w:val="auto"/>
              </w:rPr>
            </w:pPr>
            <w:r>
              <w:rPr>
                <w:rFonts w:ascii="Arial" w:cs="Arial" w:eastAsia="Arial" w:hAnsi="Arial"/>
                <w:sz w:val="17"/>
                <w:szCs w:val="17"/>
                <w:color w:val="0000FF"/>
              </w:rPr>
              <w:t>BUILDING D, SUITE DM-900</w:t>
            </w:r>
          </w:p>
        </w:tc>
        <w:tc>
          <w:tcPr>
            <w:tcW w:w="4660" w:type="dxa"/>
            <w:vAlign w:val="bottom"/>
            <w:gridSpan w:val="4"/>
          </w:tcPr>
          <w:p>
            <w:pPr>
              <w:ind w:left="1360"/>
              <w:spacing w:after="0"/>
              <w:rPr>
                <w:sz w:val="20"/>
                <w:szCs w:val="20"/>
                <w:color w:val="auto"/>
              </w:rPr>
            </w:pPr>
            <w:r>
              <w:rPr>
                <w:rFonts w:ascii="Arial" w:cs="Arial" w:eastAsia="Arial" w:hAnsi="Arial"/>
                <w:sz w:val="17"/>
                <w:szCs w:val="17"/>
                <w:color w:val="0000FF"/>
              </w:rPr>
              <w:t>06/08/2021</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1739" w:val="left"/>
          <w:tab w:leader="none" w:pos="205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63"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81" w:lineRule="exact"/>
        <w:rPr>
          <w:sz w:val="20"/>
          <w:szCs w:val="20"/>
          <w:color w:val="auto"/>
        </w:rPr>
      </w:pPr>
    </w:p>
    <w:p>
      <w:pPr>
        <w:sectPr>
          <w:pgSz w:w="11900" w:h="16838" w:orient="portrait"/>
          <w:cols w:equalWidth="0" w:num="2">
            <w:col w:w="7680" w:space="6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top w:val="single" w:sz="8" w:color="9A9A9A"/>
            </w:tcBorders>
          </w:tcPr>
          <w:p>
            <w:pPr>
              <w:spacing w:after="0"/>
              <w:rPr>
                <w:sz w:val="12"/>
                <w:szCs w:val="12"/>
                <w:color w:val="auto"/>
              </w:rPr>
            </w:pPr>
          </w:p>
        </w:tc>
        <w:tc>
          <w:tcPr>
            <w:tcW w:w="640" w:type="dxa"/>
            <w:vAlign w:val="bottom"/>
            <w:tcBorders>
              <w:top w:val="single" w:sz="8" w:color="9A9A9A"/>
            </w:tcBorders>
          </w:tcPr>
          <w:p>
            <w:pPr>
              <w:spacing w:after="0"/>
              <w:rPr>
                <w:sz w:val="12"/>
                <w:szCs w:val="12"/>
                <w:color w:val="auto"/>
              </w:rPr>
            </w:pPr>
          </w:p>
        </w:tc>
        <w:tc>
          <w:tcPr>
            <w:tcW w:w="140" w:type="dxa"/>
            <w:vAlign w:val="bottom"/>
            <w:tcBorders>
              <w:top w:val="single" w:sz="8" w:color="9A9A9A"/>
            </w:tcBorders>
          </w:tcPr>
          <w:p>
            <w:pPr>
              <w:spacing w:after="0"/>
              <w:rPr>
                <w:sz w:val="12"/>
                <w:szCs w:val="12"/>
                <w:color w:val="auto"/>
              </w:rPr>
            </w:pPr>
          </w:p>
        </w:tc>
        <w:tc>
          <w:tcPr>
            <w:tcW w:w="1040" w:type="dxa"/>
            <w:vAlign w:val="bottom"/>
            <w:tcBorders>
              <w:top w:val="single" w:sz="8" w:color="9A9A9A"/>
            </w:tcBorders>
          </w:tcPr>
          <w:p>
            <w:pPr>
              <w:spacing w:after="0"/>
              <w:rPr>
                <w:sz w:val="12"/>
                <w:szCs w:val="12"/>
                <w:color w:val="auto"/>
              </w:rPr>
            </w:pPr>
          </w:p>
        </w:tc>
        <w:tc>
          <w:tcPr>
            <w:tcW w:w="1140" w:type="dxa"/>
            <w:vAlign w:val="bottom"/>
            <w:tcBorders>
              <w:top w:val="single" w:sz="8" w:color="9A9A9A"/>
            </w:tcBorders>
          </w:tcPr>
          <w:p>
            <w:pPr>
              <w:spacing w:after="0"/>
              <w:rPr>
                <w:sz w:val="12"/>
                <w:szCs w:val="12"/>
                <w:color w:val="auto"/>
              </w:rPr>
            </w:pPr>
          </w:p>
        </w:tc>
        <w:tc>
          <w:tcPr>
            <w:tcW w:w="100" w:type="dxa"/>
            <w:vAlign w:val="bottom"/>
            <w:tcBorders>
              <w:top w:val="single" w:sz="8" w:color="9A9A9A"/>
            </w:tcBorders>
          </w:tcPr>
          <w:p>
            <w:pPr>
              <w:spacing w:after="0"/>
              <w:rPr>
                <w:sz w:val="12"/>
                <w:szCs w:val="12"/>
                <w:color w:val="auto"/>
              </w:rPr>
            </w:pPr>
          </w:p>
        </w:tc>
        <w:tc>
          <w:tcPr>
            <w:tcW w:w="3680" w:type="dxa"/>
            <w:vAlign w:val="bottom"/>
            <w:gridSpan w:val="8"/>
          </w:tcPr>
          <w:p>
            <w:pPr>
              <w:jc w:val="center"/>
              <w:ind w:right="41"/>
              <w:spacing w:after="0" w:line="142" w:lineRule="exact"/>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line="142"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7"/>
                <w:szCs w:val="17"/>
                <w:color w:val="0000FF"/>
              </w:rPr>
              <w:t>SAN</w:t>
            </w:r>
          </w:p>
        </w:tc>
        <w:tc>
          <w:tcPr>
            <w:tcW w:w="640" w:type="dxa"/>
            <w:vAlign w:val="bottom"/>
          </w:tcPr>
          <w:p>
            <w:pPr>
              <w:spacing w:after="0"/>
              <w:rPr>
                <w:sz w:val="19"/>
                <w:szCs w:val="1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40" w:type="dxa"/>
            <w:vAlign w:val="bottom"/>
            <w:gridSpan w:val="10"/>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FRANCISCO</w:t>
            </w: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17.24</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Arial" w:cs="Arial" w:eastAsia="Arial" w:hAnsi="Arial"/>
                <w:sz w:val="13"/>
                <w:szCs w:val="13"/>
                <w:color w:val="0000FF"/>
              </w:rPr>
              <w:t>06/08/2021</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19,619</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06/07/2031</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19,619</w:t>
            </w:r>
          </w:p>
        </w:tc>
        <w:tc>
          <w:tcPr>
            <w:tcW w:w="6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19,619</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160" w:firstLine="2"/>
        <w:spacing w:after="0" w:line="310" w:lineRule="auto"/>
        <w:tabs>
          <w:tab w:leader="none" w:pos="169"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stock option shall vest in four (4) approximately equal quarterly installments, such that the option shall be fully vested on the earlier of (i) the one-year anniversary of the date of grant and (ii) the day prior to the Issuer's next annual stockholder meeting, subject to the Reporting Person's Continuous Service (as defined in the Amended and Restated 2018 Equity Incentive Plan) on each applicable vesting date.</w:t>
      </w: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Valerie Pierce,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06/10/2021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4" w:lineRule="exact"/>
        <w:rPr>
          <w:sz w:val="20"/>
          <w:szCs w:val="20"/>
          <w:color w:val="auto"/>
        </w:rPr>
      </w:pPr>
    </w:p>
    <w:p>
      <w:pPr>
        <w:ind w:right="2059" w:firstLine="805"/>
        <w:spacing w:after="0" w:line="23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William J. Rieflin, David J. Woodhouse, Siobhan Nolan Mangini and Valerie Pierce, or any of them signing singly, and with full power of substitution, the undersigned's true and lawful attorney in fact to:</w:t>
      </w:r>
    </w:p>
    <w:p>
      <w:pPr>
        <w:spacing w:after="0" w:line="7" w:lineRule="exact"/>
        <w:rPr>
          <w:sz w:val="20"/>
          <w:szCs w:val="20"/>
          <w:color w:val="auto"/>
        </w:rPr>
      </w:pPr>
    </w:p>
    <w:p>
      <w:pPr>
        <w:ind w:right="1639" w:firstLine="3"/>
        <w:spacing w:after="0" w:line="239" w:lineRule="auto"/>
        <w:tabs>
          <w:tab w:leader="none" w:pos="80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director and/or more than 10% stockholder of NGM Biopharmaceuticals, Inc. (the "Company"), Forms 3, 4, and 5 in accordance with Section 16(a) of the Securities Exchange Act of 1934 and the rules thereunder;</w:t>
      </w:r>
    </w:p>
    <w:p>
      <w:pPr>
        <w:spacing w:after="0" w:line="6" w:lineRule="exact"/>
        <w:rPr>
          <w:rFonts w:ascii="Courier New" w:cs="Courier New" w:eastAsia="Courier New" w:hAnsi="Courier New"/>
          <w:sz w:val="17"/>
          <w:szCs w:val="17"/>
          <w:color w:val="auto"/>
        </w:rPr>
      </w:pPr>
    </w:p>
    <w:p>
      <w:pPr>
        <w:ind w:right="939" w:firstLine="3"/>
        <w:spacing w:after="0" w:line="239" w:lineRule="auto"/>
        <w:tabs>
          <w:tab w:leader="none" w:pos="16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w:t>
      </w:r>
    </w:p>
    <w:p>
      <w:pPr>
        <w:spacing w:after="0" w:line="2"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form with the SEC and any stock exchange or similar authority; and</w:t>
      </w:r>
    </w:p>
    <w:p>
      <w:pPr>
        <w:ind w:left="800" w:hanging="797"/>
        <w:spacing w:after="0"/>
        <w:tabs>
          <w:tab w:leader="none" w:pos="8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w:t>
      </w:r>
    </w:p>
    <w:p>
      <w:pPr>
        <w:spacing w:after="0" w:line="4" w:lineRule="exact"/>
        <w:rPr>
          <w:sz w:val="20"/>
          <w:szCs w:val="20"/>
          <w:color w:val="auto"/>
        </w:rPr>
      </w:pPr>
    </w:p>
    <w:p>
      <w:pPr>
        <w:ind w:right="1959"/>
        <w:spacing w:after="0"/>
        <w:rPr>
          <w:sz w:val="20"/>
          <w:szCs w:val="20"/>
          <w:color w:val="auto"/>
        </w:rPr>
      </w:pPr>
      <w:r>
        <w:rPr>
          <w:rFonts w:ascii="Courier New" w:cs="Courier New" w:eastAsia="Courier New" w:hAnsi="Courier New"/>
          <w:sz w:val="17"/>
          <w:szCs w:val="17"/>
          <w:color w:val="auto"/>
        </w:rPr>
        <w:t>foregoing which, in the opinion of such attorney in fact, may be of benefit to, in the best interest of, or legally required by, the undersigned, it being understood that the documents executed by such attorney in fact on behalf of the undersigned pursuant to this Power of Attorney shall be in such form and shall contain such terms and conditions as such attorney in fact may approve in such attorney in fact's discretion.</w:t>
      </w:r>
    </w:p>
    <w:p>
      <w:pPr>
        <w:spacing w:after="0" w:line="5" w:lineRule="exact"/>
        <w:rPr>
          <w:sz w:val="20"/>
          <w:szCs w:val="20"/>
          <w:color w:val="auto"/>
        </w:rPr>
      </w:pPr>
    </w:p>
    <w:p>
      <w:pPr>
        <w:ind w:right="1739" w:firstLine="805"/>
        <w:spacing w:after="0" w:line="257" w:lineRule="auto"/>
        <w:rPr>
          <w:sz w:val="20"/>
          <w:szCs w:val="20"/>
          <w:color w:val="auto"/>
        </w:rPr>
      </w:pPr>
      <w:r>
        <w:rPr>
          <w:rFonts w:ascii="Courier New" w:cs="Courier New" w:eastAsia="Courier New" w:hAnsi="Courier New"/>
          <w:sz w:val="16"/>
          <w:szCs w:val="16"/>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 in fact, in serving in such capacity at the request of the undersigned, are not assuming, nor is the Company assuming, any of the undersigned's responsibilities to comply with Section 16 of the Securities Exchange Act of 1934.</w:t>
      </w:r>
    </w:p>
    <w:p>
      <w:pPr>
        <w:spacing w:after="0" w:line="186" w:lineRule="exact"/>
        <w:rPr>
          <w:sz w:val="20"/>
          <w:szCs w:val="20"/>
          <w:color w:val="auto"/>
        </w:rPr>
      </w:pPr>
    </w:p>
    <w:p>
      <w:pPr>
        <w:jc w:val="both"/>
        <w:ind w:right="2059" w:firstLine="805"/>
        <w:spacing w:after="0"/>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 in fact.</w:t>
      </w:r>
    </w:p>
    <w:p>
      <w:pPr>
        <w:spacing w:after="0" w:line="4" w:lineRule="exact"/>
        <w:rPr>
          <w:sz w:val="20"/>
          <w:szCs w:val="20"/>
          <w:color w:val="auto"/>
        </w:rPr>
      </w:pPr>
    </w:p>
    <w:p>
      <w:pPr>
        <w:ind w:right="1639" w:firstLine="805"/>
        <w:spacing w:after="0" w:line="238"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February 27, 2021.</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David Goeddel</w:t>
      </w:r>
    </w:p>
    <w:sectPr>
      <w:pgSz w:w="11900" w:h="16838" w:orient="portrait"/>
      <w:cols w:equalWidth="0" w:num="1">
        <w:col w:w="9999"/>
      </w:cols>
      <w:pgMar w:left="46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2464"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2021-06-10T16:42:34Z</dcterms:created>
  <dcterms:modified xsi:type="dcterms:W3CDTF">2021-06-10T16:42:34Z</dcterms:modified>
</cp:coreProperties>
</file>