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WOODHOUSE DAVID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NGM BIOPHARMACEUTICALS,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OYSTER POINT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NGM BIOPHARMACEUTICALS INC</w:t>
              </w:r>
            </w:hyperlink>
            <w:r>
              <w:rPr/>
              <w:t xml:space="preserve"> [ </w:t>
            </w:r>
            <w:r>
              <w:rPr>
                <w:rFonts w:ascii="Times;serif" w:hAnsi="Times;serif"/>
                <w:color w:val="0000FF"/>
                <w:sz w:val="24"/>
                <w:shd w:fill="FFFFFF" w:val="clear"/>
              </w:rPr>
              <w:t>NGM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970"/>
        <w:gridCol w:w="453"/>
        <w:gridCol w:w="615"/>
        <w:gridCol w:w="1160"/>
        <w:gridCol w:w="995"/>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U</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23,993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U</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97,654</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95,400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04/21/2025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87,013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03/16/2031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381,600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w:t>
            </w:r>
            <w:r>
              <w:rPr>
                <w:rFonts w:ascii="Times;serif" w:hAnsi="Times;serif"/>
                <w:color w:val="008000"/>
                <w:position w:val="7"/>
                <w:sz w:val="16"/>
                <w:sz w:val="20"/>
                <w:shd w:fill="FFFFFF" w:val="clear"/>
              </w:rPr>
              <w:t>(1)(6)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(1)(6)</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reports securities disposed of pursuant to the terms of the Agreement and Plan of Merger entered into by and among the Issuer, Atlas Neon Parent, Inc. ("Parent") and Atlas Neon Merger Sub, Inc., a wholly-owned subsidiary of Parent ("Purchaser"), dated as of February 25,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Disposed of pursuant to a Rollover Agreement between, inter alia, Dr. Woodhouse, Parent and Purchaser, in exchange for shares in Parent.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Woodhouse Family Trust 9/8/05.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Common Stock. Pursuant to the Merger Agreement, as of the Effective Time, each outstanding Restricted Stock Unit was canceled and the holder of such canceled Restricted Stock Unit was entitled to receive an amount in cash, without interest and less any withholding of taxes, equal to the Offer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Merger Agreement, as of the Effective Time, the vesting of each outstanding unvested Stock Option that had a per share exercise price that was less than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Valerie Pierce,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42995" TargetMode="External"/><Relationship Id="rId3" Type="http://schemas.openxmlformats.org/officeDocument/2006/relationships/hyperlink" Target="http://www.sec.gov/cgi-bin/browse-edgar?action=getcompany&amp;CIK=000142633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1136</Words>
  <Characters>6033</Characters>
  <CharactersWithSpaces>6994</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