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March 17, 2020</w:t>
      </w:r>
    </w:p>
    <w:p>
      <w:pPr>
        <w:spacing w:after="0" w:line="1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29"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29" w:lineRule="exact"/>
        <w:rPr>
          <w:sz w:val="24"/>
          <w:szCs w:val="24"/>
          <w:color w:val="auto"/>
        </w:rPr>
      </w:pPr>
    </w:p>
    <w:p>
      <w:pPr>
        <w:sectPr>
          <w:pgSz w:w="11900" w:h="16838" w:orient="portrait"/>
          <w:cols w:equalWidth="0" w:num="2">
            <w:col w:w="7360" w:space="720"/>
            <w:col w:w="3160"/>
          </w:cols>
          <w:pgMar w:left="320" w:top="229" w:right="339" w:bottom="1440" w:gutter="0" w:footer="0" w:header="0"/>
          <w:type w:val="continuous"/>
        </w:sectPr>
      </w:pPr>
    </w:p>
    <w:p>
      <w:pPr>
        <w:ind w:left="1860"/>
        <w:spacing w:after="0"/>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4"/>
          <w:szCs w:val="14"/>
          <w:b w:val="1"/>
          <w:bCs w:val="1"/>
          <w:color w:val="auto"/>
        </w:rPr>
        <w:t>Identification No.)</w:t>
      </w:r>
    </w:p>
    <w:p>
      <w:pPr>
        <w:spacing w:after="0" w:line="127" w:lineRule="exact"/>
        <w:rPr>
          <w:sz w:val="24"/>
          <w:szCs w:val="24"/>
          <w:color w:val="auto"/>
        </w:rPr>
      </w:pPr>
    </w:p>
    <w:p>
      <w:pPr>
        <w:sectPr>
          <w:pgSz w:w="11900" w:h="16838" w:orient="portrait"/>
          <w:cols w:equalWidth="0" w:num="2">
            <w:col w:w="7180" w:space="720"/>
            <w:col w:w="334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333 Oyster Point Boulevard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243-5555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229" w:right="339" w:bottom="1440" w:gutter="0" w:footer="0" w:header="0"/>
          <w:type w:val="continuous"/>
        </w:sectPr>
      </w:pP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 Amended and Restated 2018 Equity Incentive Plan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Woodhouse, Ph.D.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and Acting Chief Financial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Oyster Point Boulevard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243-5555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Chadwick Mills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 Carlton Fleming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Cooley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3175 Hanover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Palo Alto, California 94304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40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1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5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rPr>
              <w:t>Proposed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Proposed</w:t>
            </w:r>
          </w:p>
        </w:tc>
        <w:tc>
          <w:tcPr>
            <w:tcW w:w="1760" w:type="dxa"/>
            <w:vAlign w:val="bottom"/>
            <w:tcBorders>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Securities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Amount to be</w:t>
            </w:r>
          </w:p>
        </w:tc>
        <w:tc>
          <w:tcPr>
            <w:tcW w:w="190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Maximum</w:t>
            </w:r>
          </w:p>
        </w:tc>
        <w:tc>
          <w:tcPr>
            <w:tcW w:w="1760" w:type="dxa"/>
            <w:vAlign w:val="bottom"/>
            <w:tcBorders>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180" w:type="dxa"/>
            <w:vAlign w:val="bottom"/>
            <w:tcBorders>
              <w:bottom w:val="single" w:sz="8" w:color="auto"/>
              <w:right w:val="single" w:sz="8" w:color="auto"/>
            </w:tcBorders>
          </w:tcPr>
          <w:p>
            <w:pPr>
              <w:ind w:left="80"/>
              <w:spacing w:after="0" w:line="189"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21"/>
                <w:szCs w:val="21"/>
                <w:b w:val="1"/>
                <w:bCs w:val="1"/>
                <w:color w:val="auto"/>
                <w:vertAlign w:val="superscript"/>
              </w:rPr>
              <w:t>(1)</w:t>
            </w:r>
          </w:p>
        </w:tc>
        <w:tc>
          <w:tcPr>
            <w:tcW w:w="190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Offering Price per Share</w:t>
            </w:r>
          </w:p>
        </w:tc>
        <w:tc>
          <w:tcPr>
            <w:tcW w:w="176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5"/>
        </w:trPr>
        <w:tc>
          <w:tcPr>
            <w:tcW w:w="5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par value $0.001 per share</w:t>
            </w:r>
          </w:p>
        </w:tc>
        <w:tc>
          <w:tcPr>
            <w:tcW w:w="118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8"/>
                <w:szCs w:val="18"/>
                <w:color w:val="auto"/>
                <w:w w:val="95"/>
              </w:rPr>
              <w:t xml:space="preserve">2,678,411 </w:t>
            </w:r>
            <w:r>
              <w:rPr>
                <w:rFonts w:ascii="Arial" w:cs="Arial" w:eastAsia="Arial" w:hAnsi="Arial"/>
                <w:sz w:val="26"/>
                <w:szCs w:val="26"/>
                <w:b w:val="1"/>
                <w:bCs w:val="1"/>
                <w:color w:val="auto"/>
                <w:w w:val="95"/>
                <w:vertAlign w:val="superscript"/>
              </w:rPr>
              <w:t>(2)</w:t>
            </w:r>
          </w:p>
        </w:tc>
        <w:tc>
          <w:tcPr>
            <w:tcW w:w="1900" w:type="dxa"/>
            <w:vAlign w:val="bottom"/>
            <w:tcBorders>
              <w:right w:val="single" w:sz="8" w:color="auto"/>
            </w:tcBorders>
            <w:vMerge w:val="restart"/>
          </w:tcPr>
          <w:p>
            <w:pPr>
              <w:jc w:val="center"/>
              <w:ind w:right="24"/>
              <w:spacing w:after="0"/>
              <w:rPr>
                <w:sz w:val="20"/>
                <w:szCs w:val="20"/>
                <w:color w:val="auto"/>
              </w:rPr>
            </w:pPr>
            <w:r>
              <w:rPr>
                <w:rFonts w:ascii="Arial" w:cs="Arial" w:eastAsia="Arial" w:hAnsi="Arial"/>
                <w:sz w:val="18"/>
                <w:szCs w:val="18"/>
                <w:color w:val="auto"/>
                <w:w w:val="93"/>
              </w:rPr>
              <w:t xml:space="preserve">$12.43 </w:t>
            </w:r>
            <w:r>
              <w:rPr>
                <w:rFonts w:ascii="Arial" w:cs="Arial" w:eastAsia="Arial" w:hAnsi="Arial"/>
                <w:sz w:val="26"/>
                <w:szCs w:val="26"/>
                <w:b w:val="1"/>
                <w:bCs w:val="1"/>
                <w:color w:val="auto"/>
                <w:w w:val="93"/>
                <w:vertAlign w:val="superscript"/>
              </w:rPr>
              <w:t>(3)</w:t>
            </w:r>
          </w:p>
        </w:tc>
        <w:tc>
          <w:tcPr>
            <w:tcW w:w="1760" w:type="dxa"/>
            <w:vAlign w:val="bottom"/>
            <w:tcBorders>
              <w:right w:val="single" w:sz="8" w:color="auto"/>
            </w:tcBorders>
            <w:vMerge w:val="restart"/>
          </w:tcPr>
          <w:p>
            <w:pPr>
              <w:jc w:val="center"/>
              <w:ind w:right="222"/>
              <w:spacing w:after="0"/>
              <w:rPr>
                <w:sz w:val="20"/>
                <w:szCs w:val="20"/>
                <w:color w:val="auto"/>
              </w:rPr>
            </w:pPr>
            <w:r>
              <w:rPr>
                <w:rFonts w:ascii="Arial" w:cs="Arial" w:eastAsia="Arial" w:hAnsi="Arial"/>
                <w:sz w:val="18"/>
                <w:szCs w:val="18"/>
                <w:color w:val="auto"/>
              </w:rPr>
              <w:t xml:space="preserve">$33,292,649 </w:t>
            </w:r>
            <w:r>
              <w:rPr>
                <w:rFonts w:ascii="Arial" w:cs="Arial" w:eastAsia="Arial" w:hAnsi="Arial"/>
                <w:sz w:val="26"/>
                <w:szCs w:val="26"/>
                <w:b w:val="1"/>
                <w:bCs w:val="1"/>
                <w:color w:val="auto"/>
                <w:vertAlign w:val="superscript"/>
              </w:rPr>
              <w:t>(3)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right w:val="single" w:sz="8" w:color="auto"/>
            </w:tcBorders>
          </w:tcPr>
          <w:p>
            <w:pPr>
              <w:ind w:left="400"/>
              <w:spacing w:after="0" w:line="203" w:lineRule="exact"/>
              <w:rPr>
                <w:sz w:val="20"/>
                <w:szCs w:val="20"/>
                <w:color w:val="auto"/>
              </w:rPr>
            </w:pPr>
            <w:r>
              <w:rPr>
                <w:rFonts w:ascii="Arial" w:cs="Arial" w:eastAsia="Arial" w:hAnsi="Arial"/>
                <w:sz w:val="18"/>
                <w:szCs w:val="18"/>
                <w:color w:val="auto"/>
              </w:rPr>
              <w:t>– Amended and Restated 2018 Equity Incentive Plan</w:t>
            </w: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1900" w:type="dxa"/>
            <w:vAlign w:val="bottom"/>
            <w:tcBorders>
              <w:bottom w:val="single" w:sz="8" w:color="auto"/>
              <w:right w:val="single" w:sz="8" w:color="auto"/>
            </w:tcBorders>
            <w:vMerge w:val="continue"/>
          </w:tcPr>
          <w:p>
            <w:pPr>
              <w:spacing w:after="0"/>
              <w:rPr>
                <w:sz w:val="17"/>
                <w:szCs w:val="17"/>
                <w:color w:val="auto"/>
              </w:rPr>
            </w:pPr>
          </w:p>
        </w:tc>
        <w:tc>
          <w:tcPr>
            <w:tcW w:w="1760" w:type="dxa"/>
            <w:vAlign w:val="bottom"/>
            <w:tcBorders>
              <w:bottom w:val="single" w:sz="8" w:color="auto"/>
              <w:right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8"/>
                <w:szCs w:val="18"/>
                <w:color w:val="auto"/>
              </w:rPr>
              <w:t>2,678,411</w:t>
            </w: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8"/>
                <w:szCs w:val="18"/>
                <w:color w:val="auto"/>
              </w:rPr>
              <w:t>$33,292,649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60" w:right="40" w:hanging="452"/>
        <w:spacing w:after="0" w:line="24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NGM Biopharmaceuticals,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common stock that become issuable under the plans set forth herein by reason of any stock dividend, stock split, recapitalization, or other similar transaction effected that results in an increase to the number of outstanding shares of Registrant’s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as applicable.</w:t>
      </w:r>
    </w:p>
    <w:p>
      <w:pPr>
        <w:spacing w:after="0" w:line="225" w:lineRule="exact"/>
        <w:rPr>
          <w:rFonts w:ascii="Arial" w:cs="Arial" w:eastAsia="Arial" w:hAnsi="Arial"/>
          <w:sz w:val="18"/>
          <w:szCs w:val="18"/>
          <w:color w:val="auto"/>
        </w:rPr>
      </w:pPr>
    </w:p>
    <w:p>
      <w:pPr>
        <w:ind w:left="460" w:right="40" w:hanging="452"/>
        <w:spacing w:after="0" w:line="23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reserved for issuance that were automatically added on January 1, 2020 to the shares of common stock reserved for issuance under the Registrant’s Amended and Restated 2018 Equity Incentive Plan (the “</w:t>
      </w:r>
      <w:r>
        <w:rPr>
          <w:rFonts w:ascii="Arial" w:cs="Arial" w:eastAsia="Arial" w:hAnsi="Arial"/>
          <w:sz w:val="18"/>
          <w:szCs w:val="18"/>
          <w:b w:val="1"/>
          <w:bCs w:val="1"/>
          <w:i w:val="1"/>
          <w:iCs w:val="1"/>
          <w:color w:val="auto"/>
        </w:rPr>
        <w:t>Restated 2018 Plan</w:t>
      </w:r>
      <w:r>
        <w:rPr>
          <w:rFonts w:ascii="Arial" w:cs="Arial" w:eastAsia="Arial" w:hAnsi="Arial"/>
          <w:sz w:val="18"/>
          <w:szCs w:val="18"/>
          <w:color w:val="auto"/>
        </w:rPr>
        <w:t>”). The Restated 2018 Plan provides for an automatic annual increase in the number of shares reserved and available for issuance as follows: the number of shares of common stock available for issuance under the Restated 2018 Plan will be increased on January 1st each calendar year for ten years, starting on January 1, 2020 and ending on and including January 1, 2029, by the lesser of (a) four percent (4.0%) of the total number of the Registrant’s capital stock outstanding as of December 31st of the immediately preceding calendar year or (b) a number determined by the Registrant’s board of directors.</w:t>
      </w:r>
    </w:p>
    <w:p>
      <w:pPr>
        <w:spacing w:after="0" w:line="229" w:lineRule="exact"/>
        <w:rPr>
          <w:rFonts w:ascii="Arial" w:cs="Arial" w:eastAsia="Arial" w:hAnsi="Arial"/>
          <w:sz w:val="18"/>
          <w:szCs w:val="18"/>
          <w:color w:val="auto"/>
        </w:rPr>
      </w:pPr>
    </w:p>
    <w:p>
      <w:pPr>
        <w:ind w:left="460" w:right="12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457(c) and Rule 457(h) of the Securities Act solely for purposes of calculating the registration fee. The Proposed Maximum Offering Price Per Share for shares available for future grant is the average of the high and low prices for the Registrant’s common stock as reported on The Nasdaq Global Select Market on March 16, 2020, which is $12.43.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1102360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65" w:lineRule="exact"/>
        <w:rPr>
          <w:sz w:val="20"/>
          <w:szCs w:val="20"/>
          <w:color w:val="auto"/>
        </w:rPr>
      </w:pPr>
    </w:p>
    <w:p>
      <w:pPr>
        <w:ind w:right="6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The Registrant is filing this Registration Statement on Form S-8 for the purpose of registering an additional 2,678,411 shares of its Common Stock, issuable to eligible persons under the Restated 2018 Plan, which Common Stock is in addition to the shares of Common Stock registered on the Registrant’s registration statement on Form S-8 filed on April 4, 2019 (File No. </w:t>
      </w:r>
      <w:hyperlink r:id="rId16">
        <w:r>
          <w:rPr>
            <w:rFonts w:ascii="Arial" w:cs="Arial" w:eastAsia="Arial" w:hAnsi="Arial"/>
            <w:sz w:val="18"/>
            <w:szCs w:val="18"/>
            <w:u w:val="single" w:color="auto"/>
            <w:color w:val="auto"/>
          </w:rPr>
          <w:t>333-230725</w:t>
        </w:r>
      </w:hyperlink>
      <w:r>
        <w:rPr>
          <w:rFonts w:ascii="Arial" w:cs="Arial" w:eastAsia="Arial" w:hAnsi="Arial"/>
          <w:sz w:val="18"/>
          <w:szCs w:val="18"/>
          <w:color w:val="auto"/>
        </w:rPr>
        <w:t>) (the “</w:t>
      </w:r>
      <w:r>
        <w:rPr>
          <w:rFonts w:ascii="Arial" w:cs="Arial" w:eastAsia="Arial" w:hAnsi="Arial"/>
          <w:sz w:val="18"/>
          <w:szCs w:val="18"/>
          <w:b w:val="1"/>
          <w:bCs w:val="1"/>
          <w:i w:val="1"/>
          <w:iCs w:val="1"/>
          <w:color w:val="auto"/>
        </w:rPr>
        <w:t>Prior 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Registration Statement relates to securities of the same class as that to which the Prior Registration Statement relates, and is submitted in accordance with General Instruction E to Form S-8 regarding Registration of Additional Securities. Pursuant to General Instruction E of Form S-8, the contents of the Prior Registration Statement, to the extent relating to the registration of Common Stock issuable under the Restated 2018 Plan, are incorporated herein by reference and made part of this Registration Statement, except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40" w:type="dxa"/>
            <w:vAlign w:val="bottom"/>
          </w:tcPr>
          <w:p>
            <w:pPr>
              <w:spacing w:after="0"/>
              <w:rPr>
                <w:sz w:val="20"/>
                <w:szCs w:val="20"/>
                <w:color w:val="auto"/>
              </w:rPr>
            </w:pPr>
          </w:p>
        </w:tc>
        <w:tc>
          <w:tcPr>
            <w:tcW w:w="5360" w:type="dxa"/>
            <w:vAlign w:val="bottom"/>
            <w:gridSpan w:val="19"/>
          </w:tcPr>
          <w:p>
            <w:pPr>
              <w:ind w:left="200"/>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Schedule</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3"/>
          </w:tcPr>
          <w:p>
            <w:pPr>
              <w:ind w:left="3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5"/>
                <w:szCs w:val="15"/>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Number</w:t>
            </w:r>
          </w:p>
        </w:tc>
        <w:tc>
          <w:tcPr>
            <w:tcW w:w="140" w:type="dxa"/>
            <w:vAlign w:val="bottom"/>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91"/>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rFonts w:ascii="Arial" w:cs="Arial" w:eastAsia="Arial" w:hAnsi="Arial"/>
                <w:sz w:val="18"/>
                <w:szCs w:val="18"/>
                <w:color w:val="0000EE"/>
                <w:w w:val="99"/>
              </w:rPr>
            </w:pPr>
            <w:hyperlink r:id="rId18">
              <w:r>
                <w:rPr>
                  <w:rFonts w:ascii="Arial" w:cs="Arial" w:eastAsia="Arial" w:hAnsi="Arial"/>
                  <w:sz w:val="18"/>
                  <w:szCs w:val="18"/>
                  <w:color w:val="0000EE"/>
                  <w:w w:val="99"/>
                </w:rPr>
                <w:t>Amended and Restated Certificate of Incorporation of the</w:t>
              </w:r>
            </w:hyperlink>
          </w:p>
        </w:tc>
        <w:tc>
          <w:tcPr>
            <w:tcW w:w="800" w:type="dxa"/>
            <w:vAlign w:val="bottom"/>
            <w:gridSpan w:val="7"/>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8">
              <w:r>
                <w:rPr>
                  <w:rFonts w:ascii="Arial" w:cs="Arial" w:eastAsia="Arial" w:hAnsi="Arial"/>
                  <w:sz w:val="18"/>
                  <w:szCs w:val="18"/>
                  <w:color w:val="0000EE"/>
                  <w:w w:val="98"/>
                </w:rPr>
                <w:t>Registrant.</w:t>
              </w:r>
            </w:hyperlink>
          </w:p>
        </w:tc>
        <w:tc>
          <w:tcPr>
            <w:tcW w:w="4480" w:type="dxa"/>
            <w:vAlign w:val="bottom"/>
            <w:gridSpan w:val="17"/>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940" w:type="dxa"/>
            <w:vAlign w:val="bottom"/>
            <w:tcBorders>
              <w:bottom w:val="single" w:sz="8" w:color="0000EE"/>
            </w:tcBorders>
            <w:gridSpan w:val="9"/>
          </w:tcPr>
          <w:p>
            <w:pPr>
              <w:spacing w:after="0"/>
              <w:rPr>
                <w:rFonts w:ascii="Arial" w:cs="Arial" w:eastAsia="Arial" w:hAnsi="Arial"/>
                <w:sz w:val="18"/>
                <w:szCs w:val="18"/>
                <w:color w:val="0000EE"/>
                <w:w w:val="99"/>
              </w:rPr>
            </w:pPr>
            <w:hyperlink r:id="rId19">
              <w:r>
                <w:rPr>
                  <w:rFonts w:ascii="Arial" w:cs="Arial" w:eastAsia="Arial" w:hAnsi="Arial"/>
                  <w:sz w:val="18"/>
                  <w:szCs w:val="18"/>
                  <w:color w:val="0000EE"/>
                  <w:w w:val="99"/>
                </w:rPr>
                <w:t>Amended and Restated Bylaws of the Registrant.</w:t>
              </w:r>
            </w:hyperlink>
          </w:p>
        </w:tc>
        <w:tc>
          <w:tcPr>
            <w:tcW w:w="1420" w:type="dxa"/>
            <w:vAlign w:val="bottom"/>
            <w:gridSpan w:val="10"/>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399"/>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820" w:type="dxa"/>
            <w:vAlign w:val="bottom"/>
            <w:tcBorders>
              <w:bottom w:val="single" w:sz="8" w:color="0000EE"/>
            </w:tcBorders>
            <w:gridSpan w:val="6"/>
          </w:tcPr>
          <w:p>
            <w:pPr>
              <w:spacing w:after="0"/>
              <w:rPr>
                <w:rFonts w:ascii="Arial" w:cs="Arial" w:eastAsia="Arial" w:hAnsi="Arial"/>
                <w:sz w:val="18"/>
                <w:szCs w:val="18"/>
                <w:color w:val="0000EE"/>
                <w:w w:val="99"/>
              </w:rPr>
            </w:pPr>
            <w:hyperlink r:id="rId20">
              <w:r>
                <w:rPr>
                  <w:rFonts w:ascii="Arial" w:cs="Arial" w:eastAsia="Arial" w:hAnsi="Arial"/>
                  <w:sz w:val="18"/>
                  <w:szCs w:val="18"/>
                  <w:color w:val="0000EE"/>
                  <w:w w:val="99"/>
                </w:rPr>
                <w:t>Form of Common Stock Certificate.</w:t>
              </w:r>
            </w:hyperlink>
          </w:p>
        </w:tc>
        <w:tc>
          <w:tcPr>
            <w:tcW w:w="2540" w:type="dxa"/>
            <w:vAlign w:val="bottom"/>
            <w:gridSpan w:val="13"/>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4/1/19</w:t>
            </w:r>
          </w:p>
        </w:tc>
        <w:tc>
          <w:tcPr>
            <w:tcW w:w="0" w:type="dxa"/>
            <w:vAlign w:val="bottom"/>
          </w:tcPr>
          <w:p>
            <w:pPr>
              <w:spacing w:after="0"/>
              <w:rPr>
                <w:sz w:val="1"/>
                <w:szCs w:val="1"/>
                <w:color w:val="auto"/>
              </w:rPr>
            </w:pPr>
          </w:p>
        </w:tc>
      </w:tr>
      <w:tr>
        <w:trPr>
          <w:trHeight w:val="398"/>
        </w:trPr>
        <w:tc>
          <w:tcPr>
            <w:tcW w:w="660" w:type="dxa"/>
            <w:vAlign w:val="bottom"/>
          </w:tcPr>
          <w:p>
            <w:pPr>
              <w:jc w:val="right"/>
              <w:ind w:right="153"/>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18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Opinion of Cooley LLP.</w:t>
              </w:r>
            </w:hyperlink>
          </w:p>
        </w:tc>
        <w:tc>
          <w:tcPr>
            <w:tcW w:w="352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23.1*</w:t>
            </w:r>
          </w:p>
        </w:tc>
        <w:tc>
          <w:tcPr>
            <w:tcW w:w="14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Cooley LLP (included in Exhibit 5.1).</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23.2*</w:t>
            </w:r>
          </w:p>
        </w:tc>
        <w:tc>
          <w:tcPr>
            <w:tcW w:w="14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Independent Registered Public Accounting Firm.</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24.1*</w:t>
            </w:r>
          </w:p>
        </w:tc>
        <w:tc>
          <w:tcPr>
            <w:tcW w:w="140" w:type="dxa"/>
            <w:vAlign w:val="bottom"/>
          </w:tcPr>
          <w:p>
            <w:pPr>
              <w:spacing w:after="0"/>
              <w:rPr>
                <w:sz w:val="24"/>
                <w:szCs w:val="24"/>
                <w:color w:val="auto"/>
              </w:rPr>
            </w:pPr>
          </w:p>
        </w:tc>
        <w:tc>
          <w:tcPr>
            <w:tcW w:w="478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 page of</w:t>
              </w:r>
            </w:hyperlink>
          </w:p>
        </w:tc>
        <w:tc>
          <w:tcPr>
            <w:tcW w:w="58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this Form S-8).</w:t>
              </w:r>
            </w:hyperlink>
          </w:p>
        </w:tc>
        <w:tc>
          <w:tcPr>
            <w:tcW w:w="3000" w:type="dxa"/>
            <w:vAlign w:val="bottom"/>
            <w:tcBorders>
              <w:top w:val="single" w:sz="8" w:color="0000EE"/>
            </w:tcBorders>
            <w:gridSpan w:val="8"/>
          </w:tcPr>
          <w:p>
            <w:pPr>
              <w:spacing w:after="0"/>
              <w:rPr>
                <w:sz w:val="15"/>
                <w:szCs w:val="15"/>
                <w:color w:val="auto"/>
              </w:rPr>
            </w:pPr>
          </w:p>
        </w:tc>
        <w:tc>
          <w:tcPr>
            <w:tcW w:w="116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660" w:type="dxa"/>
            <w:vAlign w:val="bottom"/>
          </w:tcPr>
          <w:p>
            <w:pPr>
              <w:jc w:val="right"/>
              <w:ind w:right="213"/>
              <w:spacing w:after="0"/>
              <w:rPr>
                <w:sz w:val="20"/>
                <w:szCs w:val="20"/>
                <w:color w:val="auto"/>
              </w:rPr>
            </w:pPr>
            <w:r>
              <w:rPr>
                <w:rFonts w:ascii="Arial" w:cs="Arial" w:eastAsia="Arial" w:hAnsi="Arial"/>
                <w:sz w:val="18"/>
                <w:szCs w:val="18"/>
                <w:color w:val="auto"/>
                <w:w w:val="96"/>
              </w:rPr>
              <w:t>99.1</w:t>
            </w:r>
          </w:p>
        </w:tc>
        <w:tc>
          <w:tcPr>
            <w:tcW w:w="14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EE"/>
              </w:rPr>
            </w:pPr>
            <w:hyperlink r:id="rId21">
              <w:r>
                <w:rPr>
                  <w:rFonts w:ascii="Arial" w:cs="Arial" w:eastAsia="Arial" w:hAnsi="Arial"/>
                  <w:sz w:val="18"/>
                  <w:szCs w:val="18"/>
                  <w:color w:val="0000EE"/>
                </w:rPr>
                <w:t>Amended and Restated 2018 Equity Incentive Plan.</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Pr>
          <w:p>
            <w:pPr>
              <w:jc w:val="right"/>
              <w:ind w:right="213"/>
              <w:spacing w:after="0"/>
              <w:rPr>
                <w:sz w:val="20"/>
                <w:szCs w:val="20"/>
                <w:color w:val="auto"/>
              </w:rPr>
            </w:pPr>
            <w:r>
              <w:rPr>
                <w:rFonts w:ascii="Arial" w:cs="Arial" w:eastAsia="Arial" w:hAnsi="Arial"/>
                <w:sz w:val="18"/>
                <w:szCs w:val="18"/>
                <w:color w:val="auto"/>
                <w:w w:val="96"/>
              </w:rPr>
              <w:t>99.2</w:t>
            </w:r>
          </w:p>
        </w:tc>
        <w:tc>
          <w:tcPr>
            <w:tcW w:w="140" w:type="dxa"/>
            <w:vAlign w:val="bottom"/>
          </w:tcPr>
          <w:p>
            <w:pPr>
              <w:spacing w:after="0"/>
              <w:rPr>
                <w:sz w:val="24"/>
                <w:szCs w:val="24"/>
                <w:color w:val="auto"/>
              </w:rPr>
            </w:pPr>
          </w:p>
        </w:tc>
        <w:tc>
          <w:tcPr>
            <w:tcW w:w="5040" w:type="dxa"/>
            <w:vAlign w:val="bottom"/>
            <w:tcBorders>
              <w:bottom w:val="single" w:sz="8" w:color="0000EE"/>
            </w:tcBorders>
            <w:gridSpan w:val="15"/>
          </w:tcPr>
          <w:p>
            <w:pPr>
              <w:spacing w:after="0"/>
              <w:rPr>
                <w:rFonts w:ascii="Arial" w:cs="Arial" w:eastAsia="Arial" w:hAnsi="Arial"/>
                <w:sz w:val="18"/>
                <w:szCs w:val="18"/>
                <w:color w:val="0000EE"/>
                <w:w w:val="99"/>
              </w:rPr>
            </w:pPr>
            <w:hyperlink r:id="rId22">
              <w:r>
                <w:rPr>
                  <w:rFonts w:ascii="Arial" w:cs="Arial" w:eastAsia="Arial" w:hAnsi="Arial"/>
                  <w:sz w:val="18"/>
                  <w:szCs w:val="18"/>
                  <w:color w:val="0000EE"/>
                  <w:w w:val="99"/>
                </w:rPr>
                <w:t>Forms of Stock Option Agreement and Notice of Grant of Stock</w:t>
              </w:r>
            </w:hyperlink>
          </w:p>
        </w:tc>
        <w:tc>
          <w:tcPr>
            <w:tcW w:w="320" w:type="dxa"/>
            <w:vAlign w:val="bottom"/>
            <w:gridSpan w:val="4"/>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22">
              <w:r>
                <w:rPr>
                  <w:rFonts w:ascii="Arial" w:cs="Arial" w:eastAsia="Arial" w:hAnsi="Arial"/>
                  <w:sz w:val="18"/>
                  <w:szCs w:val="18"/>
                  <w:color w:val="0000EE"/>
                  <w:w w:val="99"/>
                </w:rPr>
                <w:t>Option under the Amended and Restated 2018 Equity Incentive</w:t>
              </w:r>
            </w:hyperlink>
          </w:p>
        </w:tc>
        <w:tc>
          <w:tcPr>
            <w:tcW w:w="3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22">
              <w:r>
                <w:rPr>
                  <w:rFonts w:ascii="Arial" w:cs="Arial" w:eastAsia="Arial" w:hAnsi="Arial"/>
                  <w:sz w:val="18"/>
                  <w:szCs w:val="18"/>
                  <w:color w:val="0000EE"/>
                  <w:w w:val="97"/>
                </w:rPr>
                <w:t>Plan.</w:t>
              </w:r>
            </w:hyperlink>
          </w:p>
        </w:tc>
        <w:tc>
          <w:tcPr>
            <w:tcW w:w="4940" w:type="dxa"/>
            <w:vAlign w:val="bottom"/>
            <w:gridSpan w:val="18"/>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660" w:type="dxa"/>
            <w:vAlign w:val="bottom"/>
          </w:tcPr>
          <w:p>
            <w:pPr>
              <w:jc w:val="right"/>
              <w:ind w:right="213"/>
              <w:spacing w:after="0"/>
              <w:rPr>
                <w:sz w:val="20"/>
                <w:szCs w:val="20"/>
                <w:color w:val="auto"/>
              </w:rPr>
            </w:pPr>
            <w:r>
              <w:rPr>
                <w:rFonts w:ascii="Arial" w:cs="Arial" w:eastAsia="Arial" w:hAnsi="Arial"/>
                <w:sz w:val="18"/>
                <w:szCs w:val="18"/>
                <w:color w:val="auto"/>
                <w:w w:val="96"/>
              </w:rPr>
              <w:t>99.3</w:t>
            </w:r>
          </w:p>
        </w:tc>
        <w:tc>
          <w:tcPr>
            <w:tcW w:w="14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EE"/>
              </w:rPr>
            </w:pPr>
            <w:hyperlink r:id="rId23">
              <w:r>
                <w:rPr>
                  <w:rFonts w:ascii="Arial" w:cs="Arial" w:eastAsia="Arial" w:hAnsi="Arial"/>
                  <w:sz w:val="18"/>
                  <w:szCs w:val="18"/>
                  <w:color w:val="0000EE"/>
                </w:rPr>
                <w:t>Forms of Restricted Stock Unit Agreement and Notice of Grant of</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3">
              <w:r>
                <w:rPr>
                  <w:rFonts w:ascii="Arial" w:cs="Arial" w:eastAsia="Arial" w:hAnsi="Arial"/>
                  <w:sz w:val="18"/>
                  <w:szCs w:val="18"/>
                  <w:color w:val="0000EE"/>
                </w:rPr>
                <w:t>Restricted Stock Unit under the Amended and Restated 2018</w:t>
              </w:r>
            </w:hyperlink>
          </w:p>
        </w:tc>
        <w:tc>
          <w:tcPr>
            <w:tcW w:w="1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Equity Incentive Plan.</w:t>
              </w:r>
            </w:hyperlink>
          </w:p>
        </w:tc>
        <w:tc>
          <w:tcPr>
            <w:tcW w:w="3140" w:type="dxa"/>
            <w:vAlign w:val="bottom"/>
            <w:tcBorders>
              <w:top w:val="single" w:sz="8" w:color="0000EE"/>
            </w:tcBorders>
            <w:gridSpan w:val="10"/>
          </w:tcPr>
          <w:p>
            <w:pPr>
              <w:spacing w:after="0"/>
              <w:rPr>
                <w:sz w:val="15"/>
                <w:szCs w:val="15"/>
                <w:color w:val="auto"/>
              </w:rPr>
            </w:pPr>
          </w:p>
        </w:tc>
        <w:tc>
          <w:tcPr>
            <w:tcW w:w="48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660" w:type="dxa"/>
            <w:vAlign w:val="bottom"/>
          </w:tcPr>
          <w:p>
            <w:pPr>
              <w:jc w:val="right"/>
              <w:ind w:right="213"/>
              <w:spacing w:after="0"/>
              <w:rPr>
                <w:sz w:val="20"/>
                <w:szCs w:val="20"/>
                <w:color w:val="auto"/>
              </w:rPr>
            </w:pPr>
            <w:r>
              <w:rPr>
                <w:rFonts w:ascii="Arial" w:cs="Arial" w:eastAsia="Arial" w:hAnsi="Arial"/>
                <w:sz w:val="18"/>
                <w:szCs w:val="18"/>
                <w:color w:val="auto"/>
                <w:w w:val="96"/>
              </w:rPr>
              <w:t>99.4</w:t>
            </w:r>
          </w:p>
        </w:tc>
        <w:tc>
          <w:tcPr>
            <w:tcW w:w="14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EE"/>
              </w:rPr>
            </w:pPr>
            <w:hyperlink r:id="rId24">
              <w:r>
                <w:rPr>
                  <w:rFonts w:ascii="Arial" w:cs="Arial" w:eastAsia="Arial" w:hAnsi="Arial"/>
                  <w:sz w:val="18"/>
                  <w:szCs w:val="18"/>
                  <w:color w:val="0000EE"/>
                </w:rPr>
                <w:t>2019 Employee Stock Purchase Plan.</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546"/>
        <w:spacing w:after="0" w:line="261"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17th day of March, 2020.</w:t>
      </w:r>
    </w:p>
    <w:p>
      <w:pPr>
        <w:spacing w:after="0" w:line="200" w:lineRule="exact"/>
        <w:rPr>
          <w:sz w:val="20"/>
          <w:szCs w:val="20"/>
          <w:color w:val="auto"/>
        </w:rPr>
      </w:pP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NGM BIOPHARMACEUTICALS, INC.</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-1905</wp:posOffset>
            </wp:positionV>
            <wp:extent cx="266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David J. Woodhouse, Ph.D.</w:t>
      </w:r>
    </w:p>
    <w:p>
      <w:pPr>
        <w:ind w:left="7120"/>
        <w:spacing w:after="0" w:line="234" w:lineRule="auto"/>
        <w:rPr>
          <w:sz w:val="20"/>
          <w:szCs w:val="20"/>
          <w:color w:val="auto"/>
        </w:rPr>
      </w:pPr>
      <w:r>
        <w:rPr>
          <w:rFonts w:ascii="Arial" w:cs="Arial" w:eastAsia="Arial" w:hAnsi="Arial"/>
          <w:sz w:val="18"/>
          <w:szCs w:val="18"/>
          <w:color w:val="auto"/>
        </w:rPr>
        <w:t>Chief Executive Officer and Acting Chief Financial</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right="60" w:firstLine="546"/>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3"/>
          <w:szCs w:val="13"/>
          <w:b w:val="1"/>
          <w:bCs w:val="1"/>
          <w:color w:val="auto"/>
        </w:rPr>
        <w:t>NOW</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LL</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ERSONS</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Y</w:t>
      </w:r>
      <w:r>
        <w:rPr>
          <w:rFonts w:ascii="Arial" w:cs="Arial" w:eastAsia="Arial" w:hAnsi="Arial"/>
          <w:sz w:val="18"/>
          <w:szCs w:val="18"/>
          <w:b w:val="1"/>
          <w:bCs w:val="1"/>
          <w:color w:val="auto"/>
        </w:rPr>
        <w:t xml:space="preserve"> T</w:t>
      </w:r>
      <w:r>
        <w:rPr>
          <w:rFonts w:ascii="Arial" w:cs="Arial" w:eastAsia="Arial" w:hAnsi="Arial"/>
          <w:sz w:val="13"/>
          <w:szCs w:val="13"/>
          <w:b w:val="1"/>
          <w:bCs w:val="1"/>
          <w:color w:val="auto"/>
        </w:rPr>
        <w:t>HESE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RESENTS</w:t>
      </w:r>
      <w:r>
        <w:rPr>
          <w:rFonts w:ascii="Arial" w:cs="Arial" w:eastAsia="Arial" w:hAnsi="Arial"/>
          <w:sz w:val="18"/>
          <w:szCs w:val="18"/>
          <w:color w:val="auto"/>
        </w:rPr>
        <w:t>, that each person whose signature appears below constitutes and appoints William J. Rieflin</w:t>
      </w:r>
      <w:r>
        <w:rPr>
          <w:rFonts w:ascii="Arial" w:cs="Arial" w:eastAsia="Arial" w:hAnsi="Arial"/>
          <w:sz w:val="18"/>
          <w:szCs w:val="18"/>
          <w:b w:val="1"/>
          <w:bCs w:val="1"/>
          <w:color w:val="auto"/>
        </w:rPr>
        <w:t xml:space="preserve"> </w:t>
      </w:r>
      <w:r>
        <w:rPr>
          <w:rFonts w:ascii="Arial" w:cs="Arial" w:eastAsia="Arial" w:hAnsi="Arial"/>
          <w:sz w:val="18"/>
          <w:szCs w:val="18"/>
          <w:color w:val="auto"/>
        </w:rPr>
        <w:t>and David J. Woodhouse,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02" w:lineRule="exact"/>
        <w:rPr>
          <w:sz w:val="20"/>
          <w:szCs w:val="20"/>
          <w:color w:val="auto"/>
        </w:rPr>
      </w:pPr>
    </w:p>
    <w:p>
      <w:pPr>
        <w:ind w:right="60" w:firstLine="546"/>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80" w:type="dxa"/>
            <w:vAlign w:val="bottom"/>
          </w:tcPr>
          <w:p>
            <w:pPr>
              <w:spacing w:after="0"/>
              <w:rPr>
                <w:sz w:val="19"/>
                <w:szCs w:val="19"/>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0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J. Woodhouse, Ph.D.</w:t>
            </w:r>
          </w:p>
        </w:tc>
        <w:tc>
          <w:tcPr>
            <w:tcW w:w="280" w:type="dxa"/>
            <w:vAlign w:val="bottom"/>
          </w:tcPr>
          <w:p>
            <w:pPr>
              <w:spacing w:after="0"/>
              <w:rPr>
                <w:sz w:val="18"/>
                <w:szCs w:val="18"/>
                <w:color w:val="auto"/>
              </w:rPr>
            </w:pPr>
          </w:p>
        </w:tc>
        <w:tc>
          <w:tcPr>
            <w:tcW w:w="5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Executive Officer, Acting Chief Financial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177"/>
        </w:trPr>
        <w:tc>
          <w:tcPr>
            <w:tcW w:w="3540" w:type="dxa"/>
            <w:vAlign w:val="bottom"/>
          </w:tcPr>
          <w:p>
            <w:pPr>
              <w:jc w:val="center"/>
              <w:spacing w:after="0" w:line="177" w:lineRule="exact"/>
              <w:rPr>
                <w:sz w:val="20"/>
                <w:szCs w:val="20"/>
                <w:color w:val="auto"/>
              </w:rPr>
            </w:pPr>
            <w:r>
              <w:rPr>
                <w:rFonts w:ascii="Arial" w:cs="Arial" w:eastAsia="Arial" w:hAnsi="Arial"/>
                <w:sz w:val="18"/>
                <w:szCs w:val="18"/>
                <w:color w:val="auto"/>
              </w:rPr>
              <w:t>David J. Woodhouse, Ph.D.</w:t>
            </w:r>
          </w:p>
        </w:tc>
        <w:tc>
          <w:tcPr>
            <w:tcW w:w="280" w:type="dxa"/>
            <w:vAlign w:val="bottom"/>
          </w:tcPr>
          <w:p>
            <w:pPr>
              <w:spacing w:after="0"/>
              <w:rPr>
                <w:sz w:val="15"/>
                <w:szCs w:val="15"/>
                <w:color w:val="auto"/>
              </w:rPr>
            </w:pPr>
          </w:p>
        </w:tc>
        <w:tc>
          <w:tcPr>
            <w:tcW w:w="5580" w:type="dxa"/>
            <w:vAlign w:val="bottom"/>
            <w:gridSpan w:val="2"/>
          </w:tcPr>
          <w:p>
            <w:pPr>
              <w:jc w:val="center"/>
              <w:ind w:right="100"/>
              <w:spacing w:after="0" w:line="177" w:lineRule="exact"/>
              <w:rPr>
                <w:sz w:val="20"/>
                <w:szCs w:val="20"/>
                <w:color w:val="auto"/>
              </w:rPr>
            </w:pPr>
            <w:r>
              <w:rPr>
                <w:rFonts w:ascii="Arial" w:cs="Arial" w:eastAsia="Arial" w:hAnsi="Arial"/>
                <w:sz w:val="18"/>
                <w:szCs w:val="18"/>
                <w:i w:val="1"/>
                <w:iCs w:val="1"/>
                <w:color w:val="auto"/>
                <w:w w:val="99"/>
              </w:rPr>
              <w:t>(principal executive officer, principal financial officer and principal</w:t>
            </w:r>
          </w:p>
        </w:tc>
        <w:tc>
          <w:tcPr>
            <w:tcW w:w="1840" w:type="dxa"/>
            <w:vAlign w:val="bottom"/>
          </w:tcPr>
          <w:p>
            <w:pPr>
              <w:spacing w:after="0"/>
              <w:rPr>
                <w:sz w:val="15"/>
                <w:szCs w:val="15"/>
                <w:color w:val="auto"/>
              </w:rPr>
            </w:pPr>
          </w:p>
        </w:tc>
      </w:tr>
      <w:tr>
        <w:trPr>
          <w:trHeight w:val="235"/>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accounting officer)</w:t>
            </w:r>
          </w:p>
        </w:tc>
        <w:tc>
          <w:tcPr>
            <w:tcW w:w="1840" w:type="dxa"/>
            <w:vAlign w:val="bottom"/>
          </w:tcPr>
          <w:p>
            <w:pPr>
              <w:spacing w:after="0"/>
              <w:rPr>
                <w:sz w:val="20"/>
                <w:szCs w:val="20"/>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J. Rieflin</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Executive Chairman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8"/>
              </w:rPr>
              <w:t>William J. Rieflin</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Jin-Long Chen</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Scientific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V. Goeddel</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D. Guyer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Sawochka Hooper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Suzanne Sawochka Hooper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David Schnell</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David Schnell, M.D.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spacing w:after="0"/>
              <w:rPr>
                <w:sz w:val="24"/>
                <w:szCs w:val="24"/>
                <w:color w:val="auto"/>
              </w:rPr>
            </w:pP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Peter Svennilson</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McHenry T. Tichenor, Jr.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7"/>
              </w:rPr>
              <w:t>McHenry T. Tichenor, Jr.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16586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Carlton Fleming</w:t>
      </w:r>
    </w:p>
    <w:p>
      <w:pPr>
        <w:spacing w:after="0" w:line="227" w:lineRule="auto"/>
        <w:rPr>
          <w:sz w:val="20"/>
          <w:szCs w:val="20"/>
          <w:color w:val="auto"/>
        </w:rPr>
      </w:pPr>
      <w:r>
        <w:rPr>
          <w:rFonts w:ascii="Arial" w:cs="Arial" w:eastAsia="Arial" w:hAnsi="Arial"/>
          <w:sz w:val="20"/>
          <w:szCs w:val="20"/>
          <w:color w:val="auto"/>
        </w:rPr>
        <w:t>+1 650 843 5865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cfleming@cooley.com</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March 17,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NGM Biopharmaceuticals,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333 Oyster Point Blvd</w:t>
      </w:r>
    </w:p>
    <w:p>
      <w:pPr>
        <w:spacing w:after="0"/>
        <w:rPr>
          <w:sz w:val="20"/>
          <w:szCs w:val="20"/>
          <w:color w:val="auto"/>
        </w:rPr>
      </w:pPr>
      <w:r>
        <w:rPr>
          <w:rFonts w:ascii="Arial" w:cs="Arial" w:eastAsia="Arial" w:hAnsi="Arial"/>
          <w:sz w:val="20"/>
          <w:szCs w:val="20"/>
          <w:color w:val="auto"/>
        </w:rPr>
        <w:t>South San Francisco, CA 94080</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Registration on Form S-8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acted as counsel to NGM Biopharmaceuticals,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connection with the filing of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with the Securities and Exchange Commission covering the offering of up to 2,678,411 shares of the Company’s Common Stock, par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pursuant to the Company’s Amended and Restated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connection with this opinion, we have examined and relied upon the Registration Statement and related prospectuses, the Company’s Amended and Restated Certificate of Incorporation and Bylaws, as currently in effect, the Plan and originals or copies certified to our satisfaction of such other records, documents, certificates, memoranda and other instruments as we deem necessary or appropriate to enable us to render the opinion expressed below. We have assumed the genuineness and authenticity of all documents submitted to us as originals, the conformity to originals of all documents submitted to us as copies thereof, the accuracy, completeness and authenticity of certificates of public officials, and the due authorization, execution and delivery, by all persons other than by the Company, of all documents where authorization, execution and delivery are a prerequisite to the effectiveness thereof. As to certain factual matters, we have relied upon a certificate of an officer of the Company and have not sought independently to verify such matters.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in accordance with the Plan,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filing of this opinion as an exhibit to the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OOLEY</w:t>
      </w:r>
      <w:r>
        <w:rPr>
          <w:rFonts w:ascii="Arial" w:cs="Arial" w:eastAsia="Arial" w:hAnsi="Arial"/>
          <w:sz w:val="20"/>
          <w:szCs w:val="20"/>
          <w:b w:val="1"/>
          <w:bCs w:val="1"/>
          <w:color w:val="auto"/>
        </w:rPr>
        <w:t xml:space="preserve"> LLP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By: /s/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10160</wp:posOffset>
            </wp:positionV>
            <wp:extent cx="274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color w:val="auto"/>
        </w:rPr>
        <w:t>Carlton Fleming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tabs>
          <w:tab w:leader="none" w:pos="80" w:val="left"/>
          <w:tab w:leader="none" w:pos="100" w:val="left"/>
        </w:tabs>
        <w:rPr>
          <w:sz w:val="20"/>
          <w:szCs w:val="20"/>
          <w:color w:val="auto"/>
        </w:rPr>
      </w:pPr>
      <w:r>
        <w:rPr>
          <w:rFonts w:ascii="Arial" w:cs="Arial" w:eastAsia="Arial" w:hAnsi="Arial"/>
          <w:sz w:val="13"/>
          <w:szCs w:val="13"/>
          <w:color w:val="auto"/>
        </w:rPr>
        <w:t>Cooley LLP</w:t>
        <w:tab/>
        <w:t>3175 Hanover Street</w:t>
      </w:r>
      <w:r>
        <w:rPr>
          <w:sz w:val="20"/>
          <w:szCs w:val="20"/>
          <w:color w:val="auto"/>
        </w:rPr>
        <w:tab/>
      </w:r>
      <w:r>
        <w:rPr>
          <w:rFonts w:ascii="Arial" w:cs="Arial" w:eastAsia="Arial" w:hAnsi="Arial"/>
          <w:sz w:val="12"/>
          <w:szCs w:val="12"/>
          <w:color w:val="auto"/>
        </w:rPr>
        <w:t>Palo Alto, CA  94304-1130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NGM Biopharmaceuticals, Inc. Amended and Restated 2018 Equity Incentive Plan of NGM Biopharmaceuticals, Inc. of our report dated March 17, 2020, with respect to the consolidated financial statements of NGM Biopharmaceuticals, Inc., included in its Annual Report (Form 10-K) for the year ended December 31, 2019, filed with the Securities and Exchange Commission.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333333"/>
        </w:rPr>
        <w:t>Redwood City, California</w:t>
      </w:r>
    </w:p>
    <w:p>
      <w:pPr>
        <w:spacing w:after="0"/>
        <w:rPr>
          <w:sz w:val="20"/>
          <w:szCs w:val="20"/>
          <w:color w:val="auto"/>
        </w:rPr>
      </w:pPr>
      <w:r>
        <w:rPr>
          <w:rFonts w:ascii="Arial" w:cs="Arial" w:eastAsia="Arial" w:hAnsi="Arial"/>
          <w:sz w:val="18"/>
          <w:szCs w:val="18"/>
          <w:color w:val="333333"/>
        </w:rPr>
        <w:t>March 17, 2020</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jpeg"/><Relationship Id="rId30" Type="http://schemas.openxmlformats.org/officeDocument/2006/relationships/image" Target="media/image15.png"/><Relationship Id="rId16" Type="http://schemas.openxmlformats.org/officeDocument/2006/relationships/hyperlink" Target="http://www.sec.gov/Archives/edgar/data/0001426332/000119312519098022/d697498ds8.htm" TargetMode="External"/><Relationship Id="rId18" Type="http://schemas.openxmlformats.org/officeDocument/2006/relationships/hyperlink" Target="http://www.sec.gov/Archives/edgar/data/1426332/000119312519100757/d731361dex31.htm" TargetMode="External"/><Relationship Id="rId19" Type="http://schemas.openxmlformats.org/officeDocument/2006/relationships/hyperlink" Target="http://www.sec.gov/Archives/edgar/data/1426332/000119312518287727/d693178dex34.htm" TargetMode="External"/><Relationship Id="rId20" Type="http://schemas.openxmlformats.org/officeDocument/2006/relationships/hyperlink" Target="http://www.sec.gov/Archives/edgar/data/1426332/000119312519094494/d693178dex42.htm" TargetMode="External"/><Relationship Id="rId21" Type="http://schemas.openxmlformats.org/officeDocument/2006/relationships/hyperlink" Target="http://www.sec.gov/Archives/edgar/data/1426332/000119312519084550/d693178dex103.htm" TargetMode="External"/><Relationship Id="rId22" Type="http://schemas.openxmlformats.org/officeDocument/2006/relationships/hyperlink" Target="http://www.sec.gov/Archives/edgar/data/1426332/000119312519084550/d693178dex104.htm" TargetMode="External"/><Relationship Id="rId23" Type="http://schemas.openxmlformats.org/officeDocument/2006/relationships/hyperlink" Target="http://www.sec.gov/Archives/edgar/data/1426332/000119312519084550/d693178dex105.htm" TargetMode="External"/><Relationship Id="rId24" Type="http://schemas.openxmlformats.org/officeDocument/2006/relationships/hyperlink" Target="http://www.sec.gov/Archives/edgar/data/1426332/000119312519084550/d693178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2020-03-17T15:46:37Z</dcterms:created>
  <dcterms:modified xsi:type="dcterms:W3CDTF">2020-03-17T15:46:37Z</dcterms:modified>
</cp:coreProperties>
</file>