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9"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20" w:type="dxa"/>
            <w:vAlign w:val="bottom"/>
            <w:shd w:val="clear" w:color="auto" w:fill="EEEEEE"/>
          </w:tcPr>
          <w:p>
            <w:pPr>
              <w:spacing w:after="0" w:line="20" w:lineRule="exact"/>
              <w:rPr>
                <w:sz w:val="1"/>
                <w:szCs w:val="1"/>
                <w:color w:val="auto"/>
              </w:rPr>
            </w:pPr>
          </w:p>
        </w:tc>
        <w:tc>
          <w:tcPr>
            <w:tcW w:w="132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9"/>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9"/>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3"/>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03/19/2020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148,464</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11.59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593,908</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03/20/2020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143,082</w:t>
            </w:r>
            <w:r>
              <w:rPr>
                <w:rFonts w:ascii="Arial" w:cs="Arial" w:eastAsia="Arial" w:hAnsi="Arial"/>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11.77</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736,990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4"/>
                <w:szCs w:val="14"/>
                <w:color w:val="auto"/>
              </w:rPr>
            </w:pP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COLUMN GROUP L P</w:t>
              </w:r>
            </w:hyperlink>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1700 OWENS STREET</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III,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1700 OWENS STREET</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2"/>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-7063740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ectPr>
          <w:pgSz w:w="11900" w:h="16839"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3867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3840" cy="386715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III-A,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w w:val="99"/>
              </w:rPr>
            </w:pPr>
            <w:hyperlink r:id="rId19">
              <w:r>
                <w:rPr>
                  <w:rFonts w:ascii="Arial" w:cs="Arial" w:eastAsia="Arial" w:hAnsi="Arial"/>
                  <w:sz w:val="21"/>
                  <w:szCs w:val="21"/>
                  <w:color w:val="0000EE"/>
                  <w:w w:val="99"/>
                </w:rPr>
                <w:t>COLUMN GROUP III GP,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69,724 shares of Common Stock held directly by The Column Group III, LP ("TCG III LP") and 78,740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67,196 shares of Common Stock held directly by TCG III LP and 75,886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0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2020-03-23T16:07:37Z</dcterms:created>
  <dcterms:modified xsi:type="dcterms:W3CDTF">2020-03-23T16:07:37Z</dcterms:modified>
</cp:coreProperties>
</file>