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08/27/2020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4" w:lineRule="exact"/>
        <w:rPr>
          <w:sz w:val="24"/>
          <w:szCs w:val="24"/>
          <w:color w:val="auto"/>
        </w:rPr>
      </w:pPr>
    </w:p>
    <w:p>
      <w:pPr>
        <w:sectPr>
          <w:pgSz w:w="11900" w:h="16838"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tcBorders>
              <w:top w:val="single" w:sz="8" w:color="2C2C2C"/>
              <w:bottom w:val="single" w:sz="8" w:color="2C2C2C"/>
            </w:tcBorders>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9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10"/>
            <w:vMerge w:val="continue"/>
          </w:tcPr>
          <w:p>
            <w:pPr>
              <w:spacing w:after="0" w:line="20" w:lineRule="exact"/>
              <w:rPr>
                <w:sz w:val="1"/>
                <w:szCs w:val="1"/>
                <w:color w:val="auto"/>
              </w:rPr>
            </w:pPr>
          </w:p>
        </w:tc>
        <w:tc>
          <w:tcPr>
            <w:tcW w:w="3660" w:type="dxa"/>
            <w:vAlign w:val="bottom"/>
            <w:gridSpan w:val="9"/>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60" w:type="dxa"/>
            <w:vAlign w:val="bottom"/>
            <w:gridSpan w:val="10"/>
            <w:vMerge w:val="continue"/>
          </w:tcPr>
          <w:p>
            <w:pPr>
              <w:spacing w:after="0"/>
              <w:rPr>
                <w:sz w:val="12"/>
                <w:szCs w:val="12"/>
                <w:color w:val="auto"/>
              </w:rPr>
            </w:pPr>
          </w:p>
        </w:tc>
        <w:tc>
          <w:tcPr>
            <w:tcW w:w="3660" w:type="dxa"/>
            <w:vAlign w:val="bottom"/>
            <w:gridSpan w:val="9"/>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gridSpan w:val="4"/>
            <w:vMerge w:val="restart"/>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gridSpan w:val="8"/>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29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2"/>
          </w:tcPr>
          <w:p>
            <w:pPr>
              <w:spacing w:after="0"/>
              <w:rPr>
                <w:sz w:val="11"/>
                <w:szCs w:val="11"/>
                <w:color w:val="auto"/>
              </w:rPr>
            </w:pPr>
          </w:p>
        </w:tc>
        <w:tc>
          <w:tcPr>
            <w:tcW w:w="2720" w:type="dxa"/>
            <w:vAlign w:val="bottom"/>
            <w:tcBorders>
              <w:bottom w:val="single" w:sz="8" w:color="2C2C2C"/>
            </w:tcBorders>
            <w:gridSpan w:val="6"/>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60" w:type="dxa"/>
            <w:vAlign w:val="bottom"/>
          </w:tcPr>
          <w:p>
            <w:pPr>
              <w:spacing w:after="0"/>
              <w:rPr>
                <w:sz w:val="15"/>
                <w:szCs w:val="15"/>
                <w:color w:val="auto"/>
              </w:rPr>
            </w:pPr>
          </w:p>
        </w:tc>
        <w:tc>
          <w:tcPr>
            <w:tcW w:w="1360" w:type="dxa"/>
            <w:vAlign w:val="bottom"/>
            <w:gridSpan w:val="6"/>
          </w:tcPr>
          <w:p>
            <w:pPr>
              <w:ind w:left="24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60" w:type="dxa"/>
            <w:vAlign w:val="bottom"/>
            <w:gridSpan w:val="2"/>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360" w:type="dxa"/>
            <w:vAlign w:val="bottom"/>
            <w:gridSpan w:val="6"/>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11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 (D)</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7"/>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6"/>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7"/>
                <w:szCs w:val="7"/>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4"/>
          </w:tcPr>
          <w:p>
            <w:pPr>
              <w:ind w:left="640"/>
              <w:spacing w:after="0"/>
              <w:rPr>
                <w:sz w:val="20"/>
                <w:szCs w:val="20"/>
                <w:color w:val="auto"/>
              </w:rPr>
            </w:pPr>
            <w:r>
              <w:rPr>
                <w:rFonts w:ascii="Arial" w:cs="Arial" w:eastAsia="Arial" w:hAnsi="Arial"/>
                <w:sz w:val="17"/>
                <w:szCs w:val="17"/>
                <w:color w:val="0000FF"/>
              </w:rPr>
              <w:t>08/27/2020</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w w:val="74"/>
              </w:rPr>
              <w:t>P</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36,359</w:t>
            </w:r>
            <w:r>
              <w:rPr>
                <w:rFonts w:ascii="Arial" w:cs="Arial" w:eastAsia="Arial" w:hAnsi="Arial"/>
                <w:sz w:val="22"/>
                <w:szCs w:val="22"/>
                <w:color w:val="008000"/>
                <w:vertAlign w:val="superscript"/>
              </w:rPr>
              <w:t>(1)</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17.79</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1,736,801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59"/>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4"/>
          </w:tcPr>
          <w:p>
            <w:pPr>
              <w:ind w:left="640"/>
              <w:spacing w:after="0"/>
              <w:rPr>
                <w:sz w:val="20"/>
                <w:szCs w:val="20"/>
                <w:color w:val="auto"/>
              </w:rPr>
            </w:pPr>
            <w:r>
              <w:rPr>
                <w:rFonts w:ascii="Arial" w:cs="Arial" w:eastAsia="Arial" w:hAnsi="Arial"/>
                <w:sz w:val="17"/>
                <w:szCs w:val="17"/>
                <w:color w:val="0000FF"/>
              </w:rPr>
              <w:t>08/28/2020</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Arial" w:cs="Arial" w:eastAsia="Arial" w:hAnsi="Arial"/>
                <w:sz w:val="12"/>
                <w:szCs w:val="12"/>
                <w:color w:val="0000FF"/>
                <w:w w:val="74"/>
              </w:rPr>
              <w:t>P</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26,135</w:t>
            </w:r>
            <w:r>
              <w:rPr>
                <w:rFonts w:ascii="Arial" w:cs="Arial" w:eastAsia="Arial" w:hAnsi="Arial"/>
                <w:sz w:val="22"/>
                <w:szCs w:val="22"/>
                <w:color w:val="008000"/>
                <w:vertAlign w:val="superscript"/>
              </w:rPr>
              <w:t>(4)</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17.89</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20"/>
              <w:spacing w:after="0"/>
              <w:rPr>
                <w:sz w:val="20"/>
                <w:szCs w:val="20"/>
                <w:color w:val="auto"/>
              </w:rPr>
            </w:pPr>
            <w:r>
              <w:rPr>
                <w:rFonts w:ascii="Arial" w:cs="Arial" w:eastAsia="Arial" w:hAnsi="Arial"/>
                <w:sz w:val="17"/>
                <w:szCs w:val="17"/>
                <w:color w:val="0000FF"/>
                <w:w w:val="92"/>
              </w:rPr>
              <w:t>1,762,936</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59"/>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0000FF"/>
                <w:w w:val="87"/>
              </w:rPr>
              <w:t>16,166,907</w:t>
            </w:r>
            <w:r>
              <w:rPr>
                <w:rFonts w:ascii="Arial" w:cs="Arial" w:eastAsia="Arial" w:hAnsi="Arial"/>
                <w:sz w:val="22"/>
                <w:szCs w:val="22"/>
                <w:color w:val="008000"/>
                <w:w w:val="87"/>
                <w:vertAlign w:val="superscript"/>
              </w:rPr>
              <w:t>(5)</w:t>
            </w:r>
          </w:p>
        </w:tc>
        <w:tc>
          <w:tcPr>
            <w:tcW w:w="1140" w:type="dxa"/>
            <w:vAlign w:val="bottom"/>
            <w:tcBorders>
              <w:bottom w:val="single" w:sz="8" w:color="2C2C2C"/>
            </w:tcBorders>
            <w:gridSpan w:val="2"/>
          </w:tcPr>
          <w:p>
            <w:pPr>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(6)(7)(8)(9)(10)(11)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w w:val="92"/>
              </w:rPr>
              <w:t>15,000</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59"/>
              <w:spacing w:after="0" w:line="320" w:lineRule="exact"/>
              <w:rPr>
                <w:sz w:val="20"/>
                <w:szCs w:val="20"/>
                <w:color w:val="auto"/>
              </w:rPr>
            </w:pPr>
            <w:r>
              <w:rPr>
                <w:rFonts w:ascii="Arial" w:cs="Arial" w:eastAsia="Arial" w:hAnsi="Arial"/>
                <w:sz w:val="34"/>
                <w:szCs w:val="34"/>
                <w:color w:val="0000FF"/>
                <w:w w:val="83"/>
                <w:vertAlign w:val="subscript"/>
              </w:rPr>
              <w:t>D</w:t>
            </w:r>
            <w:r>
              <w:rPr>
                <w:rFonts w:ascii="Arial" w:cs="Arial" w:eastAsia="Arial" w:hAnsi="Arial"/>
                <w:sz w:val="11"/>
                <w:szCs w:val="11"/>
                <w:color w:val="008000"/>
                <w:w w:val="83"/>
              </w:rPr>
              <w:t>(12)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w w:val="92"/>
              </w:rPr>
              <w:t>44,000</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59"/>
              <w:spacing w:after="0" w:line="320" w:lineRule="exact"/>
              <w:rPr>
                <w:sz w:val="20"/>
                <w:szCs w:val="20"/>
                <w:color w:val="auto"/>
              </w:rPr>
            </w:pPr>
            <w:r>
              <w:rPr>
                <w:rFonts w:ascii="Arial" w:cs="Arial" w:eastAsia="Arial" w:hAnsi="Arial"/>
                <w:sz w:val="34"/>
                <w:szCs w:val="34"/>
                <w:color w:val="0000FF"/>
                <w:w w:val="83"/>
                <w:vertAlign w:val="subscript"/>
              </w:rPr>
              <w:t>D</w:t>
            </w:r>
            <w:r>
              <w:rPr>
                <w:rFonts w:ascii="Arial" w:cs="Arial" w:eastAsia="Arial" w:hAnsi="Arial"/>
                <w:sz w:val="11"/>
                <w:szCs w:val="11"/>
                <w:color w:val="008000"/>
                <w:w w:val="83"/>
              </w:rPr>
              <w:t>(13)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7"/>
                <w:szCs w:val="17"/>
                <w:color w:val="0000FF"/>
                <w:w w:val="91"/>
              </w:rPr>
              <w:t>190,000</w:t>
            </w:r>
          </w:p>
        </w:tc>
        <w:tc>
          <w:tcPr>
            <w:tcW w:w="300" w:type="dxa"/>
            <w:vAlign w:val="bottom"/>
          </w:tcPr>
          <w:p>
            <w:pPr>
              <w:spacing w:after="0"/>
              <w:rPr>
                <w:sz w:val="22"/>
                <w:szCs w:val="22"/>
                <w:color w:val="auto"/>
              </w:rPr>
            </w:pPr>
          </w:p>
        </w:tc>
        <w:tc>
          <w:tcPr>
            <w:tcW w:w="840" w:type="dxa"/>
            <w:vAlign w:val="bottom"/>
            <w:vMerge w:val="restart"/>
          </w:tcPr>
          <w:p>
            <w:pPr>
              <w:ind w:left="1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8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 w:type="dxa"/>
            <w:vAlign w:val="bottom"/>
          </w:tcPr>
          <w:p>
            <w:pPr>
              <w:spacing w:after="0"/>
              <w:rPr>
                <w:sz w:val="11"/>
                <w:szCs w:val="11"/>
                <w:color w:val="auto"/>
              </w:rPr>
            </w:pP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60" w:type="dxa"/>
            <w:vAlign w:val="bottom"/>
            <w:tcBorders>
              <w:top w:val="single" w:sz="8" w:color="2C2C2C"/>
            </w:tcBorders>
            <w:gridSpan w:val="7"/>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gridSpan w:val="2"/>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6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gridSpan w:val="2"/>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COLUMN GROUP III, LP</w:t>
              </w:r>
            </w:hyperlink>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gridSpan w:val="2"/>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6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-6726555</wp:posOffset>
            </wp:positionV>
            <wp:extent cx="7031355" cy="741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412355"/>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109855</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3"/>
        </w:trPr>
        <w:tc>
          <w:tcPr>
            <w:tcW w:w="10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FRANCISCO</w:t>
            </w:r>
          </w:p>
        </w:tc>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COLUMN GROUP III-A, LP</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20" w:type="dxa"/>
            <w:vAlign w:val="bottom"/>
            <w:tcBorders>
              <w:bottom w:val="single" w:sz="8" w:color="2C2C2C"/>
            </w:tcBorders>
            <w:gridSpan w:val="3"/>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w w:val="99"/>
              </w:rPr>
            </w:pPr>
            <w:hyperlink r:id="rId19">
              <w:r>
                <w:rPr>
                  <w:rFonts w:ascii="Arial" w:cs="Arial" w:eastAsia="Arial" w:hAnsi="Arial"/>
                  <w:sz w:val="21"/>
                  <w:szCs w:val="21"/>
                  <w:u w:val="single" w:color="auto"/>
                  <w:color w:val="0000EE"/>
                  <w:w w:val="99"/>
                </w:rPr>
                <w:t>COLUMN GROUP III GP, LP</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20" w:type="dxa"/>
            <w:vAlign w:val="bottom"/>
            <w:tcBorders>
              <w:bottom w:val="single" w:sz="8" w:color="2C2C2C"/>
            </w:tcBorders>
            <w:gridSpan w:val="3"/>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GOEDDEL DAVID V</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20" w:type="dxa"/>
            <w:vAlign w:val="bottom"/>
            <w:tcBorders>
              <w:bottom w:val="single" w:sz="8" w:color="2C2C2C"/>
            </w:tcBorders>
            <w:gridSpan w:val="3"/>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Svennilson Peter</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-8258175</wp:posOffset>
            </wp:positionV>
            <wp:extent cx="2783840" cy="83261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2783840" cy="8326120"/>
                    </a:xfrm>
                    <a:prstGeom prst="rect">
                      <a:avLst/>
                    </a:prstGeom>
                    <a:noFill/>
                  </pic:spPr>
                </pic:pic>
              </a:graphicData>
            </a:graphic>
          </wp:anchor>
        </w:drawing>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17,075 shares of Common Stock held directly by The Column Group III, LP ("TCG III LP") and 19,284 shares of Common Stock held directly by The Column Group III-A, LP ("TCG III-A LP").</w:t>
      </w:r>
    </w:p>
    <w:p>
      <w:pPr>
        <w:spacing w:after="0" w:line="15" w:lineRule="exact"/>
        <w:rPr>
          <w:rFonts w:ascii="Arial" w:cs="Arial" w:eastAsia="Arial" w:hAnsi="Arial"/>
          <w:sz w:val="13"/>
          <w:szCs w:val="13"/>
          <w:color w:val="008000"/>
        </w:rPr>
      </w:pPr>
    </w:p>
    <w:p>
      <w:pPr>
        <w:ind w:left="20" w:right="1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12,274 shares of Common Stock held directly by TCG III LP and 13,861 shares of Common Stock held directly by TCG III-A LP.</w:t>
      </w:r>
    </w:p>
    <w:p>
      <w:pPr>
        <w:spacing w:after="0" w:line="50" w:lineRule="exact"/>
        <w:rPr>
          <w:rFonts w:ascii="Arial" w:cs="Arial" w:eastAsia="Arial" w:hAnsi="Arial"/>
          <w:sz w:val="13"/>
          <w:szCs w:val="13"/>
          <w:color w:val="008000"/>
        </w:rPr>
      </w:pPr>
    </w:p>
    <w:p>
      <w:pPr>
        <w:ind w:left="20" w:right="18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8" w:lineRule="exact"/>
        <w:rPr>
          <w:rFonts w:ascii="Arial" w:cs="Arial" w:eastAsia="Arial" w:hAnsi="Arial"/>
          <w:sz w:val="12"/>
          <w:szCs w:val="12"/>
          <w:color w:val="008000"/>
        </w:rPr>
      </w:pPr>
    </w:p>
    <w:p>
      <w:pPr>
        <w:ind w:left="20" w:right="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2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w:t>
      </w:r>
    </w:p>
    <w:p>
      <w:pPr>
        <w:sectPr>
          <w:pgSz w:w="11900" w:h="16838" w:orient="portrait"/>
          <w:cols w:equalWidth="0" w:num="1">
            <w:col w:w="10900"/>
          </w:cols>
          <w:pgMar w:left="480" w:top="131" w:right="519" w:bottom="0" w:gutter="0" w:footer="0" w:header="0"/>
        </w:sectPr>
      </w:pPr>
    </w:p>
    <w:bookmarkStart w:id="2" w:name="page3"/>
    <w:bookmarkEnd w:id="2"/>
    <w:p>
      <w:pPr>
        <w:spacing w:after="0"/>
        <w:rPr>
          <w:sz w:val="20"/>
          <w:szCs w:val="20"/>
          <w:color w:val="auto"/>
        </w:rPr>
      </w:pPr>
      <w:r>
        <w:rPr>
          <w:rFonts w:ascii="Arial" w:cs="Arial" w:eastAsia="Arial" w:hAnsi="Arial"/>
          <w:sz w:val="12"/>
          <w:szCs w:val="12"/>
          <w:color w:val="008000"/>
        </w:rPr>
        <w:t>investment power with respect to such shares. Each individual managing partner disclaims beneficial ownership of these shares, except to the extent of his pecuniary interest in such shares.</w:t>
      </w:r>
    </w:p>
    <w:p>
      <w:pPr>
        <w:spacing w:after="0" w:line="62" w:lineRule="exact"/>
        <w:rPr>
          <w:sz w:val="20"/>
          <w:szCs w:val="20"/>
          <w:color w:val="auto"/>
        </w:rPr>
      </w:pPr>
    </w:p>
    <w:p>
      <w:pPr>
        <w:ind w:right="140" w:firstLine="7"/>
        <w:spacing w:after="0" w:line="301" w:lineRule="auto"/>
        <w:tabs>
          <w:tab w:leader="none" w:pos="13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right="140" w:firstLine="7"/>
        <w:spacing w:after="0" w:line="250" w:lineRule="auto"/>
        <w:tabs>
          <w:tab w:leader="none" w:pos="19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securities are owned solely by Tim Kutzkey.</w:t>
      </w:r>
    </w:p>
    <w:p>
      <w:pPr>
        <w:spacing w:after="0" w:line="50" w:lineRule="exact"/>
        <w:rPr>
          <w:rFonts w:ascii="Arial" w:cs="Arial" w:eastAsia="Arial" w:hAnsi="Arial"/>
          <w:sz w:val="13"/>
          <w:szCs w:val="13"/>
          <w:color w:val="008000"/>
        </w:rPr>
      </w:pPr>
    </w:p>
    <w:p>
      <w:pPr>
        <w:ind w:right="40" w:firstLine="7"/>
        <w:spacing w:after="0" w:line="245"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 who is a managing partner at The Column Group which invests through TCG II LP, Ponoi LP, Ponoi II LP, TCG III LP and TCG III-A LP (collectively, the "Funds"), among other entities. Under the partnership agreements of the Funds and his agreement with TCGM LP, Mr. Svennilson is deemed to hold certain of the securities for the economic benefit of the Funds and TCGM LP. The Funds and their respective general partners, TCGM LP and the individual managing partners of such entities may be deemed indirect beneficial owners of such securities. Such reporting persons disclaim beneficial ownership of the securities except to the extent of their pecuniary interest therein.</w:t>
      </w:r>
    </w:p>
    <w:p>
      <w:pPr>
        <w:spacing w:after="0" w:line="29"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David V. Goeddel and Alena Z. Goeddel 2004 Trust for which David V. Goeddel and Alena Z. Goeddel serve as co-trustee.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Due to SEC restrictions on the number of reporting owners, this is Form 2 of 2.</w:t>
      </w:r>
    </w:p>
    <w:p>
      <w:pPr>
        <w:spacing w:after="0" w:line="6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08/31/2020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2" Type="http://schemas.openxmlformats.org/officeDocument/2006/relationships/image" Target="media/image8.png"/><Relationship Id="rId13" Type="http://schemas.openxmlformats.org/officeDocument/2006/relationships/hyperlink" Target="http://www.sec.gov/cgi-bin/browse-edgar?action=getcompany&amp;CIK=0001347769" TargetMode="External"/><Relationship Id="rId14"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68159" TargetMode="External"/><Relationship Id="rId18" Type="http://schemas.openxmlformats.org/officeDocument/2006/relationships/hyperlink" Target="http://www.sec.gov/cgi-bin/browse-edgar?action=getcompany&amp;CIK=0001668085" TargetMode="External"/><Relationship Id="rId19" Type="http://schemas.openxmlformats.org/officeDocument/2006/relationships/hyperlink" Target="http://www.sec.gov/cgi-bin/browse-edgar?action=getcompany&amp;CIK=0001790965" TargetMode="External"/><Relationship Id="rId20" Type="http://schemas.openxmlformats.org/officeDocument/2006/relationships/hyperlink" Target="http://www.sec.gov/cgi-bin/browse-edgar?action=getcompany&amp;CIK=0001182464" TargetMode="External"/><Relationship Id="rId21" Type="http://schemas.openxmlformats.org/officeDocument/2006/relationships/hyperlink" Target="http://www.sec.gov/cgi-bin/browse-edgar?action=getcompany&amp;CIK=00016060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2020-08-31T16:03:30Z</dcterms:created>
  <dcterms:modified xsi:type="dcterms:W3CDTF">2020-08-31T16:03:30Z</dcterms:modified>
</cp:coreProperties>
</file>