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158750</wp:posOffset>
            </wp:positionV>
            <wp:extent cx="88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178435</wp:posOffset>
            </wp:positionV>
            <wp:extent cx="883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173990</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NGM Biopharmaceuticals,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154940</wp:posOffset>
            </wp:positionV>
            <wp:extent cx="883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2800" w:type="dxa"/>
            <w:vAlign w:val="bottom"/>
          </w:tcPr>
          <w:p>
            <w:pPr>
              <w:jc w:val="center"/>
              <w:ind w:right="261"/>
              <w:spacing w:after="0"/>
              <w:rPr>
                <w:sz w:val="20"/>
                <w:szCs w:val="20"/>
                <w:color w:val="auto"/>
              </w:rPr>
            </w:pPr>
            <w:r>
              <w:rPr>
                <w:rFonts w:ascii="Arial" w:cs="Arial" w:eastAsia="Arial" w:hAnsi="Arial"/>
                <w:sz w:val="18"/>
                <w:szCs w:val="18"/>
                <w:b w:val="1"/>
                <w:bCs w:val="1"/>
                <w:color w:val="auto"/>
                <w:w w:val="93"/>
              </w:rPr>
              <w:t>Delaware</w:t>
            </w:r>
          </w:p>
        </w:tc>
        <w:tc>
          <w:tcPr>
            <w:tcW w:w="4820" w:type="dxa"/>
            <w:vAlign w:val="bottom"/>
          </w:tcPr>
          <w:p>
            <w:pPr>
              <w:jc w:val="center"/>
              <w:ind w:right="241"/>
              <w:spacing w:after="0"/>
              <w:rPr>
                <w:sz w:val="20"/>
                <w:szCs w:val="20"/>
                <w:color w:val="auto"/>
              </w:rPr>
            </w:pPr>
            <w:r>
              <w:rPr>
                <w:rFonts w:ascii="Arial" w:cs="Arial" w:eastAsia="Arial" w:hAnsi="Arial"/>
                <w:sz w:val="18"/>
                <w:szCs w:val="18"/>
                <w:b w:val="1"/>
                <w:bCs w:val="1"/>
                <w:color w:val="auto"/>
                <w:w w:val="90"/>
              </w:rPr>
              <w:t>001-38853</w:t>
            </w:r>
          </w:p>
        </w:tc>
        <w:tc>
          <w:tcPr>
            <w:tcW w:w="1760" w:type="dxa"/>
            <w:vAlign w:val="bottom"/>
          </w:tcPr>
          <w:p>
            <w:pPr>
              <w:jc w:val="right"/>
              <w:ind w:right="23"/>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280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4820" w:type="dxa"/>
            <w:vAlign w:val="bottom"/>
          </w:tcPr>
          <w:p>
            <w:pPr>
              <w:spacing w:after="0"/>
              <w:rPr>
                <w:sz w:val="12"/>
                <w:szCs w:val="12"/>
                <w:color w:val="auto"/>
              </w:rPr>
            </w:pPr>
          </w:p>
        </w:tc>
        <w:tc>
          <w:tcPr>
            <w:tcW w:w="1760" w:type="dxa"/>
            <w:vAlign w:val="bottom"/>
          </w:tcPr>
          <w:p>
            <w:pPr>
              <w:jc w:val="center"/>
              <w:ind w:left="603"/>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0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of Incorporation)</w:t>
            </w:r>
          </w:p>
        </w:tc>
        <w:tc>
          <w:tcPr>
            <w:tcW w:w="4820" w:type="dxa"/>
            <w:vAlign w:val="bottom"/>
          </w:tcPr>
          <w:p>
            <w:pPr>
              <w:jc w:val="center"/>
              <w:ind w:right="261"/>
              <w:spacing w:after="0"/>
              <w:rPr>
                <w:sz w:val="20"/>
                <w:szCs w:val="20"/>
                <w:color w:val="auto"/>
              </w:rPr>
            </w:pPr>
            <w:r>
              <w:rPr>
                <w:rFonts w:ascii="Arial" w:cs="Arial" w:eastAsia="Arial" w:hAnsi="Arial"/>
                <w:sz w:val="14"/>
                <w:szCs w:val="14"/>
                <w:b w:val="1"/>
                <w:bCs w:val="1"/>
                <w:color w:val="auto"/>
                <w:w w:val="87"/>
              </w:rPr>
              <w:t>(Commission File Number)</w:t>
            </w:r>
          </w:p>
        </w:tc>
        <w:tc>
          <w:tcPr>
            <w:tcW w:w="1760" w:type="dxa"/>
            <w:vAlign w:val="bottom"/>
          </w:tcPr>
          <w:p>
            <w:pPr>
              <w:jc w:val="center"/>
              <w:ind w:left="623"/>
              <w:spacing w:after="0"/>
              <w:rPr>
                <w:sz w:val="20"/>
                <w:szCs w:val="20"/>
                <w:color w:val="auto"/>
              </w:rPr>
            </w:pPr>
            <w:r>
              <w:rPr>
                <w:rFonts w:ascii="Arial" w:cs="Arial" w:eastAsia="Arial" w:hAnsi="Arial"/>
                <w:sz w:val="14"/>
                <w:szCs w:val="14"/>
                <w:b w:val="1"/>
                <w:bCs w:val="1"/>
                <w:color w:val="auto"/>
                <w:w w:val="89"/>
              </w:rPr>
              <w:t>Identification No.)</w:t>
            </w:r>
          </w:p>
        </w:tc>
      </w:tr>
      <w:tr>
        <w:trPr>
          <w:trHeight w:val="401"/>
        </w:trPr>
        <w:tc>
          <w:tcPr>
            <w:tcW w:w="2800" w:type="dxa"/>
            <w:vAlign w:val="bottom"/>
          </w:tcPr>
          <w:p>
            <w:pPr>
              <w:jc w:val="center"/>
              <w:ind w:right="261"/>
              <w:spacing w:after="0"/>
              <w:rPr>
                <w:sz w:val="20"/>
                <w:szCs w:val="20"/>
                <w:color w:val="auto"/>
              </w:rPr>
            </w:pPr>
            <w:r>
              <w:rPr>
                <w:rFonts w:ascii="Arial" w:cs="Arial" w:eastAsia="Arial" w:hAnsi="Arial"/>
                <w:sz w:val="18"/>
                <w:szCs w:val="18"/>
                <w:b w:val="1"/>
                <w:bCs w:val="1"/>
                <w:color w:val="auto"/>
                <w:w w:val="91"/>
              </w:rPr>
              <w:t>333 Oyster Point Boulevard</w:t>
            </w:r>
          </w:p>
        </w:tc>
        <w:tc>
          <w:tcPr>
            <w:tcW w:w="48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2"/>
        </w:trPr>
        <w:tc>
          <w:tcPr>
            <w:tcW w:w="280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South San Francisco, California</w:t>
            </w:r>
          </w:p>
        </w:tc>
        <w:tc>
          <w:tcPr>
            <w:tcW w:w="4820" w:type="dxa"/>
            <w:vAlign w:val="bottom"/>
          </w:tcPr>
          <w:p>
            <w:pPr>
              <w:spacing w:after="0"/>
              <w:rPr>
                <w:sz w:val="19"/>
                <w:szCs w:val="19"/>
                <w:color w:val="auto"/>
              </w:rPr>
            </w:pPr>
          </w:p>
        </w:tc>
        <w:tc>
          <w:tcPr>
            <w:tcW w:w="1760" w:type="dxa"/>
            <w:vAlign w:val="bottom"/>
          </w:tcPr>
          <w:p>
            <w:pPr>
              <w:jc w:val="right"/>
              <w:ind w:right="243"/>
              <w:spacing w:after="0"/>
              <w:rPr>
                <w:sz w:val="20"/>
                <w:szCs w:val="20"/>
                <w:color w:val="auto"/>
              </w:rPr>
            </w:pPr>
            <w:r>
              <w:rPr>
                <w:rFonts w:ascii="Arial" w:cs="Arial" w:eastAsia="Arial" w:hAnsi="Arial"/>
                <w:sz w:val="18"/>
                <w:szCs w:val="18"/>
                <w:b w:val="1"/>
                <w:bCs w:val="1"/>
                <w:color w:val="auto"/>
              </w:rPr>
              <w:t>94080</w:t>
            </w:r>
          </w:p>
        </w:tc>
      </w:tr>
      <w:tr>
        <w:trPr>
          <w:trHeight w:val="174"/>
        </w:trPr>
        <w:tc>
          <w:tcPr>
            <w:tcW w:w="2800" w:type="dxa"/>
            <w:vAlign w:val="bottom"/>
          </w:tcPr>
          <w:p>
            <w:pPr>
              <w:jc w:val="center"/>
              <w:ind w:right="26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820" w:type="dxa"/>
            <w:vAlign w:val="bottom"/>
          </w:tcPr>
          <w:p>
            <w:pPr>
              <w:spacing w:after="0"/>
              <w:rPr>
                <w:sz w:val="15"/>
                <w:szCs w:val="15"/>
                <w:color w:val="auto"/>
              </w:rPr>
            </w:pPr>
          </w:p>
        </w:tc>
        <w:tc>
          <w:tcPr>
            <w:tcW w:w="1760" w:type="dxa"/>
            <w:vAlign w:val="bottom"/>
          </w:tcPr>
          <w:p>
            <w:pPr>
              <w:jc w:val="center"/>
              <w:ind w:left="603"/>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800" w:type="dxa"/>
            <w:vAlign w:val="bottom"/>
          </w:tcPr>
          <w:p>
            <w:pPr>
              <w:spacing w:after="0"/>
              <w:rPr>
                <w:sz w:val="24"/>
                <w:szCs w:val="24"/>
                <w:color w:val="auto"/>
              </w:rPr>
            </w:pPr>
          </w:p>
        </w:tc>
        <w:tc>
          <w:tcPr>
            <w:tcW w:w="482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(650) 243-5555</w:t>
            </w:r>
          </w:p>
        </w:tc>
        <w:tc>
          <w:tcPr>
            <w:tcW w:w="1760" w:type="dxa"/>
            <w:vAlign w:val="bottom"/>
          </w:tcPr>
          <w:p>
            <w:pPr>
              <w:spacing w:after="0"/>
              <w:rPr>
                <w:sz w:val="24"/>
                <w:szCs w:val="24"/>
                <w:color w:val="auto"/>
              </w:rPr>
            </w:pPr>
          </w:p>
        </w:tc>
      </w:tr>
      <w:tr>
        <w:trPr>
          <w:trHeight w:val="174"/>
        </w:trPr>
        <w:tc>
          <w:tcPr>
            <w:tcW w:w="2800" w:type="dxa"/>
            <w:vAlign w:val="bottom"/>
          </w:tcPr>
          <w:p>
            <w:pPr>
              <w:spacing w:after="0"/>
              <w:rPr>
                <w:sz w:val="15"/>
                <w:szCs w:val="15"/>
                <w:color w:val="auto"/>
              </w:rPr>
            </w:pPr>
          </w:p>
        </w:tc>
        <w:tc>
          <w:tcPr>
            <w:tcW w:w="4820" w:type="dxa"/>
            <w:vAlign w:val="bottom"/>
          </w:tcPr>
          <w:p>
            <w:pPr>
              <w:jc w:val="center"/>
              <w:ind w:right="281"/>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760" w:type="dxa"/>
            <w:vAlign w:val="bottom"/>
          </w:tcPr>
          <w:p>
            <w:pPr>
              <w:spacing w:after="0"/>
              <w:rPr>
                <w:sz w:val="15"/>
                <w:szCs w:val="15"/>
                <w:color w:val="auto"/>
              </w:rPr>
            </w:pPr>
          </w:p>
        </w:tc>
      </w:tr>
      <w:tr>
        <w:trPr>
          <w:trHeight w:val="298"/>
        </w:trPr>
        <w:tc>
          <w:tcPr>
            <w:tcW w:w="2800" w:type="dxa"/>
            <w:vAlign w:val="bottom"/>
          </w:tcPr>
          <w:p>
            <w:pPr>
              <w:spacing w:after="0"/>
              <w:rPr>
                <w:sz w:val="24"/>
                <w:szCs w:val="24"/>
                <w:color w:val="auto"/>
              </w:rPr>
            </w:pPr>
          </w:p>
        </w:tc>
        <w:tc>
          <w:tcPr>
            <w:tcW w:w="4820" w:type="dxa"/>
            <w:vAlign w:val="bottom"/>
          </w:tcPr>
          <w:p>
            <w:pPr>
              <w:jc w:val="center"/>
              <w:ind w:right="261"/>
              <w:spacing w:after="0"/>
              <w:rPr>
                <w:sz w:val="20"/>
                <w:szCs w:val="20"/>
                <w:color w:val="auto"/>
              </w:rPr>
            </w:pPr>
            <w:r>
              <w:rPr>
                <w:rFonts w:ascii="Arial" w:cs="Arial" w:eastAsia="Arial" w:hAnsi="Arial"/>
                <w:sz w:val="18"/>
                <w:szCs w:val="18"/>
                <w:b w:val="1"/>
                <w:bCs w:val="1"/>
                <w:color w:val="auto"/>
                <w:w w:val="92"/>
              </w:rPr>
              <w:t>Not Applicable</w:t>
            </w:r>
          </w:p>
        </w:tc>
        <w:tc>
          <w:tcPr>
            <w:tcW w:w="1760" w:type="dxa"/>
            <w:vAlign w:val="bottom"/>
          </w:tcPr>
          <w:p>
            <w:pPr>
              <w:spacing w:after="0"/>
              <w:rPr>
                <w:sz w:val="24"/>
                <w:szCs w:val="24"/>
                <w:color w:val="auto"/>
              </w:rPr>
            </w:pPr>
          </w:p>
        </w:tc>
      </w:tr>
      <w:tr>
        <w:trPr>
          <w:trHeight w:val="174"/>
        </w:trPr>
        <w:tc>
          <w:tcPr>
            <w:tcW w:w="2800" w:type="dxa"/>
            <w:vAlign w:val="bottom"/>
          </w:tcPr>
          <w:p>
            <w:pPr>
              <w:spacing w:after="0"/>
              <w:rPr>
                <w:sz w:val="15"/>
                <w:szCs w:val="15"/>
                <w:color w:val="auto"/>
              </w:rPr>
            </w:pPr>
          </w:p>
        </w:tc>
        <w:tc>
          <w:tcPr>
            <w:tcW w:w="4820" w:type="dxa"/>
            <w:vAlign w:val="bottom"/>
          </w:tcPr>
          <w:p>
            <w:pPr>
              <w:jc w:val="center"/>
              <w:ind w:right="281"/>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7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111760</wp:posOffset>
            </wp:positionV>
            <wp:extent cx="883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Trading</w:t>
            </w:r>
          </w:p>
        </w:tc>
        <w:tc>
          <w:tcPr>
            <w:tcW w:w="5100" w:type="dxa"/>
            <w:vAlign w:val="bottom"/>
          </w:tcPr>
          <w:p>
            <w:pPr>
              <w:spacing w:after="0"/>
              <w:rPr>
                <w:sz w:val="12"/>
                <w:szCs w:val="12"/>
                <w:color w:val="auto"/>
              </w:rPr>
            </w:pPr>
          </w:p>
        </w:tc>
      </w:tr>
      <w:tr>
        <w:trPr>
          <w:trHeight w:val="185"/>
        </w:trPr>
        <w:tc>
          <w:tcPr>
            <w:tcW w:w="4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51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6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20" w:type="dxa"/>
            <w:vAlign w:val="bottom"/>
          </w:tcPr>
          <w:p>
            <w:pPr>
              <w:spacing w:after="0"/>
              <w:rPr>
                <w:sz w:val="19"/>
                <w:szCs w:val="19"/>
                <w:color w:val="auto"/>
              </w:rPr>
            </w:pPr>
          </w:p>
        </w:tc>
        <w:tc>
          <w:tcPr>
            <w:tcW w:w="5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4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300990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 w:name="page2"/>
    <w:bookmarkEnd w:id="1"/>
    <w:p>
      <w:pPr>
        <w:ind w:right="30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right="80" w:firstLine="835"/>
        <w:spacing w:after="0" w:line="270" w:lineRule="auto"/>
        <w:rPr>
          <w:sz w:val="20"/>
          <w:szCs w:val="20"/>
          <w:color w:val="auto"/>
        </w:rPr>
      </w:pPr>
      <w:r>
        <w:rPr>
          <w:rFonts w:ascii="Arial" w:cs="Arial" w:eastAsia="Arial" w:hAnsi="Arial"/>
          <w:sz w:val="18"/>
          <w:szCs w:val="18"/>
          <w:color w:val="auto"/>
        </w:rPr>
        <w:t>On February 11, 2020, the Compensation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of the Board of Directors of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approved various 2019 bonus arrangements for the Company’s named executive officers identified in the final prospectus the Company filed with the U.S. Securities and Exchange Commission on April 4, 2019 pursuant to Rule 424(b) under the Securities Act of 1933, as amended, relating to the Registration Statement on Form S-1, as amended (File No. 333-227608) (the “</w:t>
      </w:r>
      <w:r>
        <w:rPr>
          <w:rFonts w:ascii="Arial" w:cs="Arial" w:eastAsia="Arial" w:hAnsi="Arial"/>
          <w:sz w:val="18"/>
          <w:szCs w:val="18"/>
          <w:b w:val="1"/>
          <w:bCs w:val="1"/>
          <w:i w:val="1"/>
          <w:iCs w:val="1"/>
          <w:color w:val="auto"/>
        </w:rPr>
        <w:t>NEOs</w:t>
      </w:r>
      <w:r>
        <w:rPr>
          <w:rFonts w:ascii="Arial" w:cs="Arial" w:eastAsia="Arial" w:hAnsi="Arial"/>
          <w:sz w:val="18"/>
          <w:szCs w:val="18"/>
          <w:color w:val="auto"/>
        </w:rPr>
        <w:t>”). The Committee</w:t>
      </w:r>
    </w:p>
    <w:p>
      <w:pPr>
        <w:spacing w:after="0" w:line="3" w:lineRule="exact"/>
        <w:rPr>
          <w:sz w:val="20"/>
          <w:szCs w:val="20"/>
          <w:color w:val="auto"/>
        </w:rPr>
      </w:pPr>
    </w:p>
    <w:p>
      <w:pPr>
        <w:ind w:right="140" w:firstLine="8"/>
        <w:spacing w:after="0" w:line="260" w:lineRule="auto"/>
        <w:tabs>
          <w:tab w:leader="none" w:pos="236" w:val="left"/>
        </w:tabs>
        <w:numPr>
          <w:ilvl w:val="0"/>
          <w:numId w:val="2"/>
        </w:numPr>
        <w:rPr>
          <w:rFonts w:ascii="Arial" w:cs="Arial" w:eastAsia="Arial" w:hAnsi="Arial"/>
          <w:sz w:val="19"/>
          <w:szCs w:val="19"/>
          <w:color w:val="auto"/>
        </w:rPr>
      </w:pPr>
      <w:r>
        <w:rPr>
          <w:rFonts w:ascii="Arial" w:cs="Arial" w:eastAsia="Arial" w:hAnsi="Arial"/>
          <w:sz w:val="19"/>
          <w:szCs w:val="19"/>
          <w:color w:val="auto"/>
        </w:rPr>
        <w:t>approved an increase to the 2019 bonus award guideline (i.e., the percentage of base salary that can be achieved by meeting corporate goals at target level) to 25% of base salary for each NEO except Mr. Rieflin and (ii) after review of the Company’s 2019 corporate goals and achievements, approved actual bonus payments for 2019 for each NEO, as set forth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19"/>
              <w:spacing w:after="0"/>
              <w:rPr>
                <w:sz w:val="20"/>
                <w:szCs w:val="20"/>
                <w:color w:val="auto"/>
              </w:rPr>
            </w:pPr>
            <w:r>
              <w:rPr>
                <w:rFonts w:ascii="Arial" w:cs="Arial" w:eastAsia="Arial" w:hAnsi="Arial"/>
                <w:sz w:val="14"/>
                <w:szCs w:val="14"/>
                <w:b w:val="1"/>
                <w:bCs w:val="1"/>
                <w:color w:val="auto"/>
              </w:rPr>
              <w:t>Bonus Award for</w:t>
            </w:r>
          </w:p>
        </w:tc>
        <w:tc>
          <w:tcPr>
            <w:tcW w:w="600" w:type="dxa"/>
            <w:vAlign w:val="bottom"/>
          </w:tcPr>
          <w:p>
            <w:pPr>
              <w:spacing w:after="0"/>
              <w:rPr>
                <w:sz w:val="14"/>
                <w:szCs w:val="14"/>
                <w:color w:val="auto"/>
              </w:rPr>
            </w:pPr>
          </w:p>
        </w:tc>
      </w:tr>
      <w:tr>
        <w:trPr>
          <w:trHeight w:val="198"/>
        </w:trPr>
        <w:tc>
          <w:tcPr>
            <w:tcW w:w="180" w:type="dxa"/>
            <w:vAlign w:val="bottom"/>
          </w:tcPr>
          <w:p>
            <w:pPr>
              <w:spacing w:after="0"/>
              <w:rPr>
                <w:sz w:val="17"/>
                <w:szCs w:val="17"/>
                <w:color w:val="auto"/>
              </w:rPr>
            </w:pPr>
          </w:p>
        </w:tc>
        <w:tc>
          <w:tcPr>
            <w:tcW w:w="3340" w:type="dxa"/>
            <w:vAlign w:val="bottom"/>
          </w:tcPr>
          <w:p>
            <w:pPr>
              <w:ind w:left="14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5620" w:type="dxa"/>
            <w:vAlign w:val="bottom"/>
          </w:tcPr>
          <w:p>
            <w:pPr>
              <w:ind w:left="2660"/>
              <w:spacing w:after="0"/>
              <w:rPr>
                <w:sz w:val="20"/>
                <w:szCs w:val="20"/>
                <w:color w:val="auto"/>
              </w:rPr>
            </w:pPr>
            <w:r>
              <w:rPr>
                <w:rFonts w:ascii="Arial" w:cs="Arial" w:eastAsia="Arial" w:hAnsi="Arial"/>
                <w:sz w:val="14"/>
                <w:szCs w:val="14"/>
                <w:b w:val="1"/>
                <w:bCs w:val="1"/>
                <w:color w:val="auto"/>
              </w:rPr>
              <w:t>Title</w:t>
            </w:r>
          </w:p>
        </w:tc>
        <w:tc>
          <w:tcPr>
            <w:tcW w:w="148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7"/>
                <w:szCs w:val="17"/>
                <w:color w:val="auto"/>
              </w:rPr>
            </w:pPr>
          </w:p>
        </w:tc>
      </w:tr>
      <w:tr>
        <w:trPr>
          <w:trHeight w:val="195"/>
        </w:trPr>
        <w:tc>
          <w:tcPr>
            <w:tcW w:w="180" w:type="dxa"/>
            <w:vAlign w:val="bottom"/>
          </w:tcPr>
          <w:p>
            <w:pPr>
              <w:spacing w:after="0"/>
              <w:rPr>
                <w:sz w:val="16"/>
                <w:szCs w:val="16"/>
                <w:color w:val="auto"/>
              </w:rPr>
            </w:pP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J. Woodhouse, Ph.D.</w:t>
            </w:r>
          </w:p>
        </w:tc>
        <w:tc>
          <w:tcPr>
            <w:tcW w:w="22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Acting Chief Financial Officer</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$125,000</w:t>
            </w:r>
          </w:p>
        </w:tc>
        <w:tc>
          <w:tcPr>
            <w:tcW w:w="600" w:type="dxa"/>
            <w:vAlign w:val="bottom"/>
          </w:tcPr>
          <w:p>
            <w:pPr>
              <w:spacing w:after="0"/>
              <w:rPr>
                <w:sz w:val="16"/>
                <w:szCs w:val="16"/>
                <w:color w:val="auto"/>
              </w:rPr>
            </w:pPr>
          </w:p>
        </w:tc>
      </w:tr>
      <w:tr>
        <w:trPr>
          <w:trHeight w:val="216"/>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William J. Rieflin</w:t>
            </w:r>
          </w:p>
        </w:tc>
        <w:tc>
          <w:tcPr>
            <w:tcW w:w="5840" w:type="dxa"/>
            <w:vAlign w:val="bottom"/>
            <w:gridSpan w:val="2"/>
          </w:tcPr>
          <w:p>
            <w:pPr>
              <w:ind w:left="200"/>
              <w:spacing w:after="0"/>
              <w:rPr>
                <w:sz w:val="20"/>
                <w:szCs w:val="20"/>
                <w:color w:val="auto"/>
              </w:rPr>
            </w:pPr>
            <w:r>
              <w:rPr>
                <w:rFonts w:ascii="Arial" w:cs="Arial" w:eastAsia="Arial" w:hAnsi="Arial"/>
                <w:sz w:val="18"/>
                <w:szCs w:val="18"/>
                <w:color w:val="auto"/>
              </w:rPr>
              <w:t>Executive Chairman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0" w:type="dxa"/>
            <w:vAlign w:val="bottom"/>
          </w:tcPr>
          <w:p>
            <w:pPr>
              <w:spacing w:after="0"/>
              <w:rPr>
                <w:sz w:val="18"/>
                <w:szCs w:val="18"/>
                <w:color w:val="auto"/>
              </w:rPr>
            </w:pPr>
          </w:p>
        </w:tc>
      </w:tr>
      <w:tr>
        <w:trPr>
          <w:trHeight w:val="216"/>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Aetna Wun Trombley, Ph.D.</w:t>
            </w:r>
          </w:p>
        </w:tc>
        <w:tc>
          <w:tcPr>
            <w:tcW w:w="5840" w:type="dxa"/>
            <w:vAlign w:val="bottom"/>
            <w:gridSpan w:val="2"/>
          </w:tcPr>
          <w:p>
            <w:pPr>
              <w:ind w:left="200"/>
              <w:spacing w:after="0"/>
              <w:rPr>
                <w:sz w:val="20"/>
                <w:szCs w:val="20"/>
                <w:color w:val="auto"/>
              </w:rPr>
            </w:pPr>
            <w:r>
              <w:rPr>
                <w:rFonts w:ascii="Arial" w:cs="Arial" w:eastAsia="Arial" w:hAnsi="Arial"/>
                <w:sz w:val="18"/>
                <w:szCs w:val="18"/>
                <w:color w:val="auto"/>
              </w:rPr>
              <w:t>President and Chief Operating Officer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$110,000</w:t>
            </w:r>
          </w:p>
        </w:tc>
        <w:tc>
          <w:tcPr>
            <w:tcW w:w="600" w:type="dxa"/>
            <w:vAlign w:val="bottom"/>
          </w:tcPr>
          <w:p>
            <w:pPr>
              <w:spacing w:after="0"/>
              <w:rPr>
                <w:sz w:val="18"/>
                <w:szCs w:val="18"/>
                <w:color w:val="auto"/>
              </w:rPr>
            </w:pPr>
          </w:p>
        </w:tc>
      </w:tr>
      <w:tr>
        <w:trPr>
          <w:trHeight w:val="230"/>
        </w:trPr>
        <w:tc>
          <w:tcPr>
            <w:tcW w:w="3520" w:type="dxa"/>
            <w:vAlign w:val="bottom"/>
            <w:gridSpan w:val="2"/>
          </w:tcPr>
          <w:p>
            <w:pPr>
              <w:ind w:left="160"/>
              <w:spacing w:after="0"/>
              <w:rPr>
                <w:sz w:val="20"/>
                <w:szCs w:val="20"/>
                <w:color w:val="auto"/>
              </w:rPr>
            </w:pPr>
            <w:r>
              <w:rPr>
                <w:rFonts w:ascii="Arial" w:cs="Arial" w:eastAsia="Arial" w:hAnsi="Arial"/>
                <w:sz w:val="18"/>
                <w:szCs w:val="18"/>
                <w:color w:val="auto"/>
              </w:rPr>
              <w:t>Jin-Long Chen, Ph.D.</w:t>
            </w:r>
          </w:p>
        </w:tc>
        <w:tc>
          <w:tcPr>
            <w:tcW w:w="5840" w:type="dxa"/>
            <w:vAlign w:val="bottom"/>
            <w:gridSpan w:val="2"/>
          </w:tcPr>
          <w:p>
            <w:pPr>
              <w:ind w:left="200"/>
              <w:spacing w:after="0"/>
              <w:rPr>
                <w:sz w:val="20"/>
                <w:szCs w:val="20"/>
                <w:color w:val="auto"/>
              </w:rPr>
            </w:pPr>
            <w:r>
              <w:rPr>
                <w:rFonts w:ascii="Arial" w:cs="Arial" w:eastAsia="Arial" w:hAnsi="Arial"/>
                <w:sz w:val="18"/>
                <w:szCs w:val="18"/>
                <w:color w:val="auto"/>
              </w:rPr>
              <w:t>Chief Scientific Officer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600" w:type="dxa"/>
            <w:vAlign w:val="bottom"/>
          </w:tcPr>
          <w:p>
            <w:pPr>
              <w:spacing w:after="0"/>
              <w:rPr>
                <w:sz w:val="20"/>
                <w:szCs w:val="20"/>
                <w:color w:val="auto"/>
              </w:rPr>
            </w:pPr>
          </w:p>
        </w:tc>
      </w:tr>
      <w:tr>
        <w:trPr>
          <w:trHeight w:val="723"/>
        </w:trPr>
        <w:tc>
          <w:tcPr>
            <w:tcW w:w="1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320" w:firstLine="835"/>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80" w:type="dxa"/>
            <w:vAlign w:val="bottom"/>
          </w:tcPr>
          <w:p>
            <w:pPr>
              <w:spacing w:after="0"/>
              <w:rPr>
                <w:sz w:val="22"/>
                <w:szCs w:val="22"/>
                <w:color w:val="auto"/>
              </w:rPr>
            </w:pPr>
          </w:p>
        </w:tc>
        <w:tc>
          <w:tcPr>
            <w:tcW w:w="7740" w:type="dxa"/>
            <w:vAlign w:val="bottom"/>
            <w:gridSpan w:val="2"/>
          </w:tcPr>
          <w:p>
            <w:pPr>
              <w:ind w:left="1640"/>
              <w:spacing w:after="0"/>
              <w:rPr>
                <w:sz w:val="20"/>
                <w:szCs w:val="20"/>
                <w:color w:val="auto"/>
              </w:rPr>
            </w:pPr>
            <w:r>
              <w:rPr>
                <w:rFonts w:ascii="Arial" w:cs="Arial" w:eastAsia="Arial" w:hAnsi="Arial"/>
                <w:sz w:val="20"/>
                <w:szCs w:val="20"/>
                <w:b w:val="1"/>
                <w:bCs w:val="1"/>
                <w:color w:val="auto"/>
              </w:rPr>
              <w:t>NGM Biopharmaceuticals, Inc.</w:t>
            </w:r>
          </w:p>
        </w:tc>
      </w:tr>
      <w:tr>
        <w:trPr>
          <w:trHeight w:val="914"/>
        </w:trPr>
        <w:tc>
          <w:tcPr>
            <w:tcW w:w="3680" w:type="dxa"/>
            <w:vAlign w:val="bottom"/>
          </w:tcPr>
          <w:p>
            <w:pPr>
              <w:spacing w:after="0"/>
              <w:rPr>
                <w:sz w:val="20"/>
                <w:szCs w:val="20"/>
                <w:color w:val="auto"/>
              </w:rPr>
            </w:pPr>
            <w:r>
              <w:rPr>
                <w:rFonts w:ascii="Arial" w:cs="Arial" w:eastAsia="Arial" w:hAnsi="Arial"/>
                <w:sz w:val="20"/>
                <w:szCs w:val="20"/>
                <w:color w:val="auto"/>
              </w:rPr>
              <w:t>Dated: February 13, 2020</w:t>
            </w:r>
          </w:p>
        </w:tc>
        <w:tc>
          <w:tcPr>
            <w:tcW w:w="7740" w:type="dxa"/>
            <w:vAlign w:val="bottom"/>
            <w:gridSpan w:val="2"/>
          </w:tcPr>
          <w:p>
            <w:pPr>
              <w:ind w:left="1640"/>
              <w:spacing w:after="0"/>
              <w:rPr>
                <w:sz w:val="20"/>
                <w:szCs w:val="20"/>
                <w:color w:val="auto"/>
              </w:rPr>
            </w:pPr>
            <w:r>
              <w:rPr>
                <w:rFonts w:ascii="Arial" w:cs="Arial" w:eastAsia="Arial" w:hAnsi="Arial"/>
                <w:sz w:val="20"/>
                <w:szCs w:val="20"/>
                <w:color w:val="auto"/>
              </w:rPr>
              <w:t>By: /s/ Valerie Pierce</w:t>
            </w:r>
          </w:p>
        </w:tc>
      </w:tr>
      <w:tr>
        <w:trPr>
          <w:trHeight w:val="206"/>
        </w:trPr>
        <w:tc>
          <w:tcPr>
            <w:tcW w:w="3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7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Valerie Pierce</w:t>
            </w:r>
          </w:p>
        </w:tc>
      </w:tr>
      <w:tr>
        <w:trPr>
          <w:trHeight w:val="250"/>
        </w:trPr>
        <w:tc>
          <w:tcPr>
            <w:tcW w:w="36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720" w:type="dxa"/>
            <w:vAlign w:val="bottom"/>
          </w:tcPr>
          <w:p>
            <w:pPr>
              <w:spacing w:after="0"/>
              <w:rPr>
                <w:sz w:val="20"/>
                <w:szCs w:val="20"/>
                <w:color w:val="auto"/>
              </w:rPr>
            </w:pPr>
            <w:r>
              <w:rPr>
                <w:rFonts w:ascii="Arial" w:cs="Arial" w:eastAsia="Arial" w:hAnsi="Arial"/>
                <w:sz w:val="20"/>
                <w:szCs w:val="20"/>
                <w:i w:val="1"/>
                <w:iCs w:val="1"/>
                <w:color w:val="auto"/>
              </w:rPr>
              <w:t>Senior Vice President and General Counsel</w:t>
            </w:r>
          </w:p>
        </w:tc>
      </w:tr>
    </w:tbl>
    <w:p>
      <w:pPr>
        <w:spacing w:after="0" w:line="1" w:lineRule="exact"/>
        <w:rPr>
          <w:sz w:val="20"/>
          <w:szCs w:val="20"/>
          <w:color w:val="auto"/>
        </w:rPr>
      </w:pP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2020-02-13T16:30:17Z</dcterms:created>
  <dcterms:modified xsi:type="dcterms:W3CDTF">2020-02-13T16:30:17Z</dcterms:modified>
</cp:coreProperties>
</file>