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8409d424b5.htm"/>
        <w:bookmarkStart w:id="1" w:name="ksd398409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Registration No. 333-272509</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5575" cy="40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575" cy="400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NGM Biopharmaceuticals, Inc. </w:t>
      </w:r>
    </w:p>
    <w:p>
      <w:pPr>
        <w:pStyle w:val="TextBody"/>
        <w:bidi w:val="0"/>
        <w:spacing w:before="240" w:after="0"/>
        <w:jc w:val="center"/>
        <w:rPr>
          <w:rFonts w:ascii="Times New Roman" w:hAnsi="Times New Roman"/>
          <w:b/>
          <w:sz w:val="32"/>
        </w:rPr>
      </w:pPr>
      <w:r>
        <w:rPr>
          <w:rFonts w:ascii="Times New Roman" w:hAnsi="Times New Roman"/>
          <w:b/>
          <w:sz w:val="32"/>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Amendment No. 1 to the Open Market Sale AgreementSM, or the sales agreement, with Jefferies LLC, or Jefferies, relating to the sale of shares of our common stock offered by this prospectus. The controlling provisions of the amendment to the sales agreement will become effective immediately upon the effectiveness of the registration statement of which this prospectus is a part. In accordance with the terms of the sales agreement, as amended, or the amended sales agreement, we may offer and sell shares of our common stock having an aggregate offering price of up to $100,000,000 from time to time through Jefferies, acting as our sales agent. As of immediately prior to the filing date of this prospectus, shares of our common stock having an aggregate offering price of up to $76,164,523 remained unsold under the sales agreement and the sales agreement prospectus dated June 16, 2020, or the prior prospectus. The common stock remaining available to be sold under the prior prospectus as of the date of effectiveness of the registration statement of which this prospectus is a part will no longer be offered and sold under the prior prospectus and will instead be offered and sold under this prospectus. Accordingly, this prospectus covers the offer and sale of our common stock having an aggregate offering price of up to $100,000,000 to be sold under the amended sales agreement as of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NGM. On August 3, 2023, the last reported sale price of our common stock was $2.25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shares, if any, under this prospectus may be made in sales deemed to be an at-the-market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be entitled to compensation under the terms of the amended sales agreement at a fixed commission rate of up to 3.0% of the gross sales price per share sold under the amended sales agreement. See Plan of Distribution beginning on page 14 for additional information regarding Jefferies compensation. In connection with the sale of common stock on our behalf, Jefferies will be deemed to be an underwriter within the meaning of the Securities Act and the compensation of Jefferies will be deemed to be underwriting commissions or discounts. We have also agreed to provide indemnification to Jefferies against certain liabilities, including liabilities under the Securities Act or the Securities Exchange Act of 1934, as amended, or the Exchange Act. See section titled Plan of Distribution on page 14 of this prospectus. </w:t>
      </w:r>
    </w:p>
    <w:p>
      <w:pPr>
        <w:pStyle w:val="TextBody"/>
        <w:bidi w:val="0"/>
        <w:spacing w:before="240" w:after="0"/>
        <w:jc w:val="left"/>
        <w:rPr/>
      </w:pPr>
      <w:r>
        <w:rPr>
          <w:rFonts w:ascii="Times New Roman" w:hAnsi="Times New Roman"/>
          <w:b/>
          <w:sz w:val="24"/>
        </w:rPr>
        <w:t>Investing in our common stock involves a high degree of risk. Before making an investment decision, please read the information contained in and incorporated by reference under the heading </w:t>
      </w:r>
      <w:hyperlink w:anchor="toca398409_3">
        <w:r>
          <w:rPr>
            <w:rStyle w:val="InternetLink"/>
            <w:rFonts w:ascii="Times New Roman" w:hAnsi="Times New Roman"/>
            <w:b/>
            <w:sz w:val="24"/>
          </w:rPr>
          <w:t>Risk Factors</w:t>
        </w:r>
      </w:hyperlink>
      <w:r>
        <w:rPr>
          <w:rFonts w:ascii="Times New Roman" w:hAnsi="Times New Roman"/>
          <w:b/>
          <w:sz w:val="24"/>
        </w:rPr>
        <w:t> on page 3 of this prospectus, and under similar headings in the other documents that we have filed or that are filed after the date hereof and incorporated by reference into this prospectus</w:t>
      </w:r>
      <w:r>
        <w:rPr>
          <w:rFonts w:ascii="Times New Roman" w:hAnsi="Times New Roman"/>
          <w:b/>
          <w:i/>
          <w:sz w:val="24"/>
        </w:rPr>
        <w:t>.</w:t>
      </w:r>
    </w:p>
    <w:p>
      <w:pPr>
        <w:pStyle w:val="TextBody"/>
        <w:bidi w:val="0"/>
        <w:spacing w:before="240" w:after="0"/>
        <w:jc w:val="left"/>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sz w:val="20"/>
        </w:rPr>
      </w:pPr>
      <w:r>
        <w:rPr>
          <w:rFonts w:ascii="Times New Roman" w:hAnsi="Times New Roman"/>
          <w:sz w:val="20"/>
        </w:rPr>
        <w:t xml:space="preserve">Prospectus dated August 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a398409_1">
              <w:r>
                <w:rPr>
                  <w:rStyle w:val="InternetLink"/>
                  <w:rFonts w:ascii="Times New Roman" w:hAnsi="Times New Roman"/>
                  <w:sz w:val="20"/>
                </w:rPr>
                <w:t xml:space="preserve">ABOUT THIS PROSPECTUS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6">
              <w:r>
                <w:rPr>
                  <w:rStyle w:val="InternetLink"/>
                  <w:rFonts w:ascii="Times New Roman" w:hAnsi="Times New Roman"/>
                  <w:sz w:val="20"/>
                </w:rPr>
                <w:t>DILUTION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7">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11">
              <w:r>
                <w:rPr>
                  <w:rStyle w:val="InternetLink"/>
                  <w:rFonts w:ascii="Times New Roman" w:hAnsi="Times New Roman"/>
                  <w:sz w:val="20"/>
                </w:rPr>
                <w:t>WHERE YOU CAN FIND 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a398409_12">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a39840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or SEC, using a shelf registration process. Under this shelf registration process, we may offer and sell shares of our common stock and preferred stock, various series of debt securities and/or warrants to purchase any of such securities, either individually or in combination with other securities described in this prospectus, in one or more offerings, up to a total dollar amount of $300,000,000 of any combination of the securities described in this prospectus. Under this prospectus, we may offer and sell shares of our common stock having an aggregate offering price of up to $100,000,000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terms of this offering of shares of our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Jefferies has not, authorized anyone to provide any information other than that contained or incorporated by reference in this prospectus, any prospectus supplement relating to this offering or in any free writing prospectus that we have authorized for use in connection with this offering. We and Jefferies take no responsibility for, and can provide no assurance as to the reliability of, any other information that others may give you. This prospectus does not constitute an offer to sell, or a solicitation of an offer to purchase, the common stock offered by this prospectus in any jurisdiction to or from any person to whom or from whom it is unlawful to make such offer or solicitation of an offer in such jurisdiction. The information appearing in this prospectus, any prospectus supplement relating to this offering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related free writing prospectus, or any sale of shares of our common stock. Our business, financial condition, results of operations and prospects may have changed since those dates. It is important for you to read and consider all information contained in this prospectus, any prospectus supplement relating to this offering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titled Where You Can Find Additional Information and Incorporation of Certain Information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data and industry statistics and forecasts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prospectus supplement and free writing prospectus, and under similar headings in the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a398409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and any related prospectus supplement and free writing prospectus, including the risks of investing in our common stock discussed under the heading Risk Factors contained in this prospectus and any related prospectus supplement and free writing prospectus, and under similar headings in the other documents that are incorporated by reference into this prospectus. You should also carefully read the other information incorporated by reference into this prospectus, including our consolidated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NGM Biopharmaceuticals,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currently listed on The Nasdaq Global Select Market under the symbol NGM. Our principal executive offices are located at 333 Oyster Point Blvd., South San Francisco, CA 94080-7014, and our telephone number is (650) 243-5555. Our website address is http://www.ngmbio.com. The contents of and information accessible through our website are not incorporated into this prospectus and our reference to the URL for our website is intended to be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this prospectus, NGM Biopharmaceuticals, NGM, we, us and our refer to NGM Biopharmaceuticals, Inc. and its wholly-owned subsidiary taken as a whole. 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 We do not intend our use or display of other companies trademarks or trade names to imply a relationship with, or endorsement or sponsorship of us by, any other companies or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Shares of our common stock having an aggregate offering price of up to $100,000,000.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28" w:type="dxa"/>
            <w:tcBorders/>
          </w:tcPr>
          <w:p>
            <w:pPr>
              <w:pStyle w:val="TableContents"/>
              <w:bidi w:val="0"/>
              <w:spacing w:before="0" w:after="283"/>
              <w:jc w:val="left"/>
              <w:rPr/>
            </w:pPr>
            <w:r>
              <w:rPr/>
              <w:t xml:space="preserve">At-the-market offering that may be made from time to time through our sales agent, Jefferies. See Plan of Distribution on page 14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currently expect to use the net proceeds from this offering for working capital and other general corporate purposes, which may include funding research and development, general and administrative activities and capital expenditures.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common stock involves significant risks. Please read the information contained in and incorporated by reference under the heading Risk Factors beginning on page 3 of this prospectus, and under similar headings in the other documents that are filed after the date hereof and incorporated by reference into this prospectus, for a discussion of factors you should consider before buying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 xml:space="preserve">NGM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a398409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deciding whether to invest in our common stock, you should consider carefully the risks and uncertainties described below and under the heading Risk Factors contained in any related prospectus supplement and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its entirety, as updated or superseded by the risks and uncertainties described under similar headings in the other documents that are filed after the date hereof and incorporated by reference into this prospectus, together with other information in this prospectus, the documents incorporated by reference, any related prospectus supplement and any free writing prospectus that we may authorize for use in connection with this offering. The risks described below and in these incorporated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You may incur immediate and substantial dilution as a result of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of our common stock in this offering may exceed the net tangible book value per share of our common stock outstanding prior to this offering. Assuming that an aggregate of 44,444,444 shares of our common stock are sold at a price of $2.25 per share, the last reported sale price of our common stock on The Nasdaq Global Select Market on August 3, 2023, for aggregate gross proceeds of $100.0 million, and after deducting commissions and estimated offering expenses payable by us, you would experience accretion of $0.02 per share, representing the difference between our as adjusted net tangible book value per share as of June 30, 2023, after giving effect to this offering, and the assumed public offering price. While you may experience accretion under the assumed offering price of $2.25 per share, if you purchase shares of our common stock at a price that is above our net tangible book value per share, you will experience immediate dilution. The exercise of outstanding stock options and vesting of restricted stock units could result in further dilution of your investment. See Dilution beginning on page 8 of this prospectus for a more detailed description of the dilution to new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have broad discretion in the use of proceeds from this offering and may invest or spend the proceeds in ways with which you do not agree and in ways that may not yield a return. </w:t>
      </w:r>
    </w:p>
    <w:p>
      <w:pPr>
        <w:pStyle w:val="TextBody"/>
        <w:bidi w:val="0"/>
        <w:spacing w:before="120" w:after="0"/>
        <w:jc w:val="left"/>
        <w:rPr>
          <w:rFonts w:ascii="Times New Roman" w:hAnsi="Times New Roman"/>
          <w:sz w:val="20"/>
        </w:rPr>
      </w:pPr>
      <w:r>
        <w:rPr>
          <w:rFonts w:ascii="Times New Roman" w:hAnsi="Times New Roman"/>
          <w:sz w:val="20"/>
        </w:rPr>
        <w:t xml:space="preserve">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products or require us to raise additional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offer additional shares of our common stock or other securities convertible into or exchangeable for our common stock in the future.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price of our stock has been and may continue to be volatile, and you could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has fluctuated significantly from time to time, for example, varying between a high of $32.12 on March 17, 2021 and a low of $2.09 on August 3, 2023. The trading price of our common stock has been and may continue to be highly volatile and subject to wide fluctuations in response to various factors, some of which we cannot control. In addition to the factors discussed herein and under the heading Risk Factors in the documents incorporated by reference in this prospectus,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adequate capital through public or private equity or debt offerings or negotiate potential future collaboration, out licensing, partnering or other business development arrangements, or BD Arrangements, with third-party partners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including disclosure of data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our product candidates or our competitors product candidates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timeline delays in our clinical trials, including delays resulting from the effects of the ongoing global COVID-19 pandemic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growth rate relative to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or partners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legal or payor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in-license or acquire additional product candidates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price and volume fluctuations attributable to inconsistent trading volume levels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or sales of our common stock by us, our insiders or our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the conflict between Russia and Ukraine and recent and potential future bank failures, which has resulted in decreased stock prices for many companies notwithstanding the lack of a fundamental change in their underlying business models or prospects. Broad market and industry factors, including worsening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 conditions and other adverse effects or developments relating to the effects of the ongoing COVID-19 pandemic and recent and potential future bank failures, macroeconomic factors including inflation and rising interest rates, geopolitical instability, including instability resulting from the conflict between Russia and Ukraine and the related sanctions imposed against Russia, as well as adverse financial conditions affecting the banking system and financial markets that may result in the distress, insolvency or failure of additional banks and financial institutions, may negatively affect the market price of our common stock, regardless of our actual operating performance. The realization of any of the above risks or any of a broad range of other risks, including those described herein and under the heading Risk Factors in the documents incorporated by reference in this prospectus, could have a dramatic and material adverse impact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of common stock we will issue under the amended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amended sales agreement and compliance with applicable law, we have the discretion to deliver an issuance notice to Jefferies at any time throughout the term of the amended sales agreement. The number of shares of common stock that are sold by Jefferies after delivering an issuance notice will fluctuate based on the market price of the shares of common stock during the sales period and limits we set with Jefferies. Because the price per share of each share of common stock sold will fluctuate based on the market price of our shares of common stock during the sales period, it is not possible to predict the number of shares of common stock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shares of common stock offered hereby are intended to be sold in at-the-market offerings, and investors who buy shares of common stock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common stock in this offering at different times will likely pay different prices, and so may experience different outcomes in their investment results. We will have discretion, subject to market demand, to vary the timing, prices, and number of shares of common stock sold. Investors may experience a decline in the value of their shares of common stock as a result of sales of shares of common stock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on our common stock so any returns will be limited to the value of our stock. </w:t>
      </w:r>
    </w:p>
    <w:p>
      <w:pPr>
        <w:pStyle w:val="TextBody"/>
        <w:bidi w:val="0"/>
        <w:spacing w:before="120" w:after="0"/>
        <w:jc w:val="left"/>
        <w:rPr>
          <w:rFonts w:ascii="Times New Roman" w:hAnsi="Times New Roman"/>
          <w:sz w:val="20"/>
        </w:rPr>
      </w:pPr>
      <w:r>
        <w:rPr>
          <w:rFonts w:ascii="Times New Roman" w:hAnsi="Times New Roman"/>
          <w:sz w:val="20"/>
        </w:rPr>
        <w:t xml:space="preserve">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a398409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contain forward-looking statements within the meaning of the Securities Act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timing of our product development activities and clinical trials and the initiation of, enrollment in, availability of data for and other events related to such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NGM707 has the potential to reprogram immunoglobulin-like transcript 4-, or ILT4-, and immunoglobulin-like transcript 2-, or ILT2-, expressing myeloid cells to shift them from a suppressive state that restricts anti-tumor immunity to a stimulatory state that may promote anti-tumor immunity;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NGM831 has the potential to block the interaction of the Immunoglobulin-like transcript 3, or ILT3 (also known as LILRB4), receptor with fibronectin, as well as other cognate ligands, and mobilize a patients own immune system to fight tumors by shifting myeloid cells from a suppressive state to a stimulatory state promoting anti-tumor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NGM438 has the potential to potently block the binding of all collagens to leukocyte-associated immunoglobulin-like receptor 1, or LAIR1, and to address a key resistance mechanism that limits tumor responses to current immunotherapies;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NGM120 may reduce tumor growth and improve survival;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aldafermin has the potential to be a treatment for patients with compensated cirrhosis due to non-alcoholic steatohepatitis, or NASH, or for patients with idiopathic bile acid malabsorption with diarrhea-predominant irritable bowel syndrome;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NGM313 (MK-3655) has the potential to be a treatment for patients with NASH with early to moderate fibrosis;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research, develop and commercialize our key programs in active development, NGM707, NGM831, NGM438 and NGM120, and the therapeutic potential of those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of our additional programs currently without significant resource allocation whose further development is primarily dependent on our ability to secure potential future BD Arrangements with third-party partners and our ability to secure such BD Arrangements on beneficial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future expenses, revenue, capital requirements and needs for additional financing, particularly in light of our estimates of Merck Sharp &amp; Dohme LLC providing further decreased funding in 2023 and minimal funding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approvals for our current and any of our future product candidates, and any related restrictions, limitations and/or warnings in the label of any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regarding the impact of our product candidates side effects and our ability to effectively manage these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as well as the reimbursement coverage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with respect to the availability of the accelerated approval pathway for any marketing applications that we may submit to the U.S. Food and Drug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and our ability to obtain sufficient supply of clinical trial material in a timely manner from, third-party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around the competitive landscape for our product candidates and 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development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protect and enforce intellectual property protection for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the net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assumptions, risks and uncertainties, you should not place undue reliance on these forward-looking statements. We cannot guarantee that any forward-looking statement will be realized. We discuss in greater detail, and incorporate by reference into this prospectus in their entirety, many of these risks and uncertainties under the heading Risk Factors contained on page 3 of this prospectus and in our most recent Annual Report on Form 10-K and in our most recent Quarterly Report on Form 10-Q as well as any amendments thereto reflected in subsequent filings with the SEC, which are incorporated herein by reference, as may be updated or superseded by the risks and uncertainties described under the heading Risk Factors in any related prospectus supplement and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related prospectus supplement, together with the documents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480" w:after="0"/>
        <w:jc w:val="center"/>
        <w:rPr>
          <w:rFonts w:ascii="Times New Roman" w:hAnsi="Times New Roman"/>
          <w:b/>
          <w:sz w:val="20"/>
        </w:rPr>
      </w:pPr>
      <w:bookmarkStart w:id="7" w:name="toca39840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to use the net proceeds from this offering for working capital and other general corporate purposes, which may include funding research and development, general and administrative activities and capital expenditures. Pending the application of the net proceeds, we expect to invest the proceeds in investment-grade, interest-bearing instruments or other securities. We will retain broad discretion over the use of the net proceeds from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a398409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at June 30, 2023 was approximately $192.1 million, or approximately $2.32 per share of common stock. Net tangible book value per share is determined by dividing our total tangible assets, less total liabilities, by the number of shares of our common stock outstanding as of June 30, 2023.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of 44,444,444 shares of our common stock by us in this offering at an assumed public offering price of $2.25 per share, which was the last reported sale price of our common stock on The Nasdaq Global Select Market on August 3, 2023, after deducting commissions and estimated offering expenses payable by us, our as adjusted net tangible book value as of June 30, 2023 would have been $289.0 million, or $2.27 per share. This would represent an immediate decrease in net tangible book value per share of $0.05 to existing stockholders and immediate accretion of $0.02 in net tangible book value per share to new investors purchasing common stock in this offering at the assumed public offering price. While you will experience immediate accretion under the assumed offering price of $2.25, if you purchase shares at a price that is above the net tangible book value per share, you will experience immediate dilution.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$100.0 million is sold at the assumed public offering price of $2.25 per share, the last reported sale price of our common stock on The Nasdaq Global Select Market on August 3, 2023. The shares sold in this offering, if any, will be sold from time to time at various prices.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88"/>
        <w:gridCol w:w="251"/>
        <w:gridCol w:w="60"/>
        <w:gridCol w:w="758"/>
        <w:gridCol w:w="60"/>
        <w:gridCol w:w="251"/>
        <w:gridCol w:w="60"/>
        <w:gridCol w:w="563"/>
        <w:gridCol w:w="64"/>
      </w:tblGrid>
      <w:tr>
        <w:trPr/>
        <w:tc>
          <w:tcPr>
            <w:tcW w:w="5688"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$2.25</w:t>
            </w:r>
          </w:p>
        </w:tc>
        <w:tc>
          <w:tcPr>
            <w:tcW w:w="64" w:type="dxa"/>
            <w:tcBorders/>
            <w:shd w:fill="CCEEFF" w:val="clear"/>
            <w:vAlign w:val="bottom"/>
          </w:tcPr>
          <w:p>
            <w:pPr>
              <w:pStyle w:val="TableContents"/>
              <w:bidi w:val="0"/>
              <w:spacing w:before="0" w:after="283"/>
              <w:jc w:val="left"/>
              <w:rPr/>
            </w:pPr>
            <w:r>
              <w:rPr/>
              <w:t> </w:t>
            </w:r>
          </w:p>
        </w:tc>
      </w:tr>
      <w:tr>
        <w:trPr/>
        <w:tc>
          <w:tcPr>
            <w:tcW w:w="568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2023</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net tangible book value per share attributable to the offering</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8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$2.27</w:t>
            </w:r>
          </w:p>
        </w:tc>
        <w:tc>
          <w:tcPr>
            <w:tcW w:w="64" w:type="dxa"/>
            <w:tcBorders/>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in net tangible book value per share to new investors in the offering</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$0.02</w:t>
            </w:r>
          </w:p>
        </w:tc>
        <w:tc>
          <w:tcPr>
            <w:tcW w:w="64" w:type="dxa"/>
            <w:tcBorders/>
            <w:shd w:fill="CCEEFF" w:val="clear"/>
            <w:vAlign w:val="bottom"/>
          </w:tcPr>
          <w:p>
            <w:pPr>
              <w:pStyle w:val="TableContents"/>
              <w:bidi w:val="0"/>
              <w:spacing w:before="0" w:after="283"/>
              <w:jc w:val="left"/>
              <w:rPr/>
            </w:pPr>
            <w:r>
              <w:rPr/>
              <w:t> </w:t>
            </w:r>
          </w:p>
        </w:tc>
      </w:tr>
      <w:tr>
        <w:trPr/>
        <w:tc>
          <w:tcPr>
            <w:tcW w:w="5688"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increase of $1.00 per share in the price at which the shares are sold from the assumed public offering price of $2.25 per share shown in the table above, assuming that the aggregate dollar amount of shares sold by us remains at $100.0 million, would increase our as adjusted net tangible book value per share after this offering to $2.55 per share and would increase the dilution in net tangible book value per share to new investors to $0.70 per share, after deducting commissions and estimated aggregate offering expenses payable by us. A decrease of $1.00 per share in the price at which the shares are sold from the assumed public offering price of $2.25 per share shown in the table above, assuming that the aggregate dollar amount of shares sold by us remains at $100.0 million, would decrease our as adjusted net tangible book value per share after this offering to $1.78 per share resulting in an accretion of $0.53 in net tangible book value per share, after deducting commissions and estimated aggregate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discussion and table are based on 82,710,507 shares of our common stock outstanding as of June 30, 2023. The number of shares of our common stock outstanding as used throughout this prospectus, unless otherwise indicated, is as of June 30, 2023 and excludes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16,023,659 shares of our common stock issuable upon the exercise of outstanding stock options as of June 30, 2023 with a weighted-average exercise price of $12.27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6,049,462 shares of our common stock available for issuance or future grant under our Amended and Restated 2018 Equity Incentive Plan as of June 30, 2023, as well as any automatic increases in the number of shares of common stock reserved for future issuance under this benefit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727,100 shares of our common stock underlying restricted stock units as of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731,086 shares of our common stock available for issuance under our 2019 Employee Stock Purchase Plan as of June 30, 2023, as well as any automatic increases in the number of shares of common stock reserved for future issuance under this benefit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64,975 shares of our common stock reserved for future issuance under our NGM Biopharmaceuticals 401(k) Matching Plan as of June 30,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of common stock outstanding as of June 30, 2023 as shown above also does not include up to $76,164,523 of our common stock that remained available for sale at June 30, 2023 under the sales agreement and the prior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outstanding options are exercised, restricted stock units vest or common stock is sold pursuant to the amended sales agreement and the prior prospectus prior to the effectiveness of the registration statement of which this prospectus forms a part, there could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or equity-linked securities, the issuance of such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a398409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our authorized capital stock consists of 400,000,000 shares of common stock, $0.001 par value per share, and 10,000,000 shares of preferred stock, $0.001 par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capital stock is based on the provisions of our amended and restated certificate of incorporation, our amended and restated bylaws and applicable provisions of the General Corporation Law of the State of Delaware. The description is intended as a summary and is qualified in its entirety by reference to our amended and restated certificate of incorporation, our amended and restated bylaws and the General Corporation Law of the State of Delaware. For information on how to obtain copies of our amended and restated certificate of incorporation and our amended and restated bylaws, which are exhibits to the registration statement of which this prospectus is a part, see Where You Can Find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any outstanding preferred stock, holders of our common stock are entitled to receive ratably any dividends that our board of directors may declare out of funds legally available for that purpose.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are entitled to share ratably in all assets remaining after payment of liabilities and the liquidation preference of any outstanding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When we issue shares of common stock under this prospectus, the shares will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number, rights, preferences, privileges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amended and restated investor rights agreement that provides certain registration rights to certain holders of our common stock. The requisite holders of registrable securities pursuant to the registration rights agreement have waived their registration rights in connection with the filing of the registration statement of which this prospectus forms a part and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Amended and Restated Bylaws and Delaware Law </w:t>
      </w:r>
    </w:p>
    <w:p>
      <w:pPr>
        <w:pStyle w:val="TextBody"/>
        <w:bidi w:val="0"/>
        <w:spacing w:before="120" w:after="0"/>
        <w:jc w:val="left"/>
        <w:rPr>
          <w:rFonts w:ascii="Times New Roman" w:hAnsi="Times New Roman"/>
          <w:i/>
          <w:sz w:val="20"/>
        </w:rPr>
      </w:pPr>
      <w:r>
        <w:rPr>
          <w:rFonts w:ascii="Times New Roman" w:hAnsi="Times New Roman"/>
          <w:i/>
          <w:sz w:val="20"/>
        </w:rPr>
        <w:t xml:space="preserve">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include a number of provisions that may deter or impede hostile takeovers or changes of control or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Issuance of Undesignated Preferred Stock</w:t>
            </w:r>
            <w:r>
              <w:rPr>
                <w:rFonts w:ascii="Times New Roman" w:hAnsi="Times New Roman"/>
                <w:sz w:val="20"/>
              </w:rPr>
              <w:t xml:space="preserve">: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Classified Board</w:t>
            </w:r>
            <w:r>
              <w:rPr>
                <w:rFonts w:ascii="Times New Roman" w:hAnsi="Times New Roman"/>
                <w:sz w:val="20"/>
              </w:rPr>
              <w:t xml:space="preserve">: Our amended and restated certificate of incorporation provides for a classified board of directors consisting 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Board of Directors Vacancies</w:t>
            </w:r>
            <w:r>
              <w:rPr>
                <w:rFonts w:ascii="Times New Roman" w:hAnsi="Times New Roman"/>
                <w:sz w:val="20"/>
              </w:rPr>
              <w:t xml:space="preserve">: Our amended and restated certificate of incorporation and amended and restated bylaws authorize only our board of directors to fill vacant directorships, subject to the rights of the holders of any series of preferred stock or as otherwise provided by applicable law.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Stockholder Action; Special Meetings of Stockholders</w:t>
            </w:r>
            <w:r>
              <w:rPr>
                <w:rFonts w:ascii="Times New Roman" w:hAnsi="Times New Roman"/>
                <w:sz w:val="20"/>
              </w:rPr>
              <w:t xml:space="preserve">: Our amended and restated certificate of incorporation provides that our 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203 of the General Corporation Law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General Corporation Law of the State of Delaware (Section 203), which prohibits a Delaware corporation from engaging in a business combination with any interested stockholder for a period of three years following the date the person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certificate of incorporation. We have not opted out of these provisions, which may, as a result, discourage or prevent mergers or other takeover or change in control attempts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General Corporation Law of the State of Delaware, our amended and restated certificate of incorporation or amended and restated bylaws; (iv) any action with respect to the validity of our amended and restated certificate of incorporation or amended and restated bylaws; (v) any action as to which the General Corporation Law of the State of Delaware confers jurisdiction to the Court of Chancery of the State of Delaware; or (vi)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Our transfer agent and registrar for our common stock is American Stock Transfer &amp; Trust Company, LLC (as succeeded by Equiniti Trust Company, LLC as of July 1, 2023).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NGM.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a398409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Amendment No. 1 to the Open Market Sale AgreementSM, or the sales agreement, with Jefferies LLC, or Jefferies, relating to the sale of shares of our common stock offered by this prospectus. The controlling provisions of the amendment to the sales agreement will become effective immediately upon the effectiveness of the registration statement of which this prospectus is a part. In accordance with the terms of the sales agreement, as amended, or the amended sales agreement, we may offer and sell shares of our common stock having an aggregate offering price of up to $100,000,000 from time to time through Jefferies, acting as our sales agent. As of immediately prior to the filing date of this prospectus, shares of our common stock having an aggregate offering price of up to $76,164,523 remained unsold under the sales agreement and the sales agreement prospectus dated June 16, 2020, or the prior prospectus. The common stock remaining available to be sold under the prior prospectus as of the date of effectiveness of the registration statement of which this prospectus is a part will no longer be offered and sold under the prior prospectus and will instead be offered and sold under this prospectus. Accordingly, this prospectus covers the offer and sale of our common stock having an aggregate offering price of up to $100,000,000 to be sold under the amended sales agreement as of the date of this prospectus. Sales of our shares, if any, under this prospectus may be made in sales deemed to be an at-the-market offering as defined in Rule 415(a)(4)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amended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amended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amended sales agreement, will be approximately $87,958.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our shares of common stock are sold under the amended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offering of our shares of common stock pursuant to the amended sales agreement will terminate upon the earlier of (i) the sale of all shares of common stock subject to the amended sales agreement and (ii) the termination of the amended sales agreement as permitted therein. We and Jefferies may each terminate the amended sales agreement at any time upon ten trading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amended sales agreement does not purport to be a complete statement of its terms and conditions. A copy of the amended sales agreement is filed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a website maintained by Jefferies, and Jefferies may distribute the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a398409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is serving as our counsel in this offering. Davis Polk &amp; Wardwell LLP is acting as counsel for Jefferies in connection with certain legal matters relating to the shares of common stock offered by this prospectus. GC&amp;H Investments, LLC, an entity that includes current and former partners and associates of Cooley LLP, beneficially owns 10,400 shares of our common stock. </w:t>
      </w:r>
    </w:p>
    <w:p>
      <w:pPr>
        <w:pStyle w:val="TextBody"/>
        <w:bidi w:val="0"/>
        <w:spacing w:before="480" w:after="0"/>
        <w:jc w:val="center"/>
        <w:rPr>
          <w:rFonts w:ascii="Times New Roman" w:hAnsi="Times New Roman"/>
          <w:b/>
          <w:sz w:val="20"/>
        </w:rPr>
      </w:pPr>
      <w:bookmarkStart w:id="12" w:name="toca398409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3" w:name="toca398409_11"/>
      <w:bookmarkEnd w:id="13"/>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In addition, we maintain a website that contains information about us at www.ngmbio.com. The information found on, or otherwise accessible through our website is not incorporated by reference into, and does not form a part of, this prospectus, any accompanying prospectus supplement or any other document or report we file or furnish with the SEC. </w:t>
      </w:r>
    </w:p>
    <w:p>
      <w:pPr>
        <w:pStyle w:val="TextBody"/>
        <w:bidi w:val="0"/>
        <w:spacing w:before="480" w:after="0"/>
        <w:jc w:val="center"/>
        <w:rPr>
          <w:rFonts w:ascii="Times New Roman" w:hAnsi="Times New Roman"/>
          <w:b/>
          <w:sz w:val="20"/>
        </w:rPr>
      </w:pPr>
      <w:bookmarkStart w:id="14" w:name="toca398409_12"/>
      <w:bookmarkEnd w:id="14"/>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001-38853):</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February  28, 2023, as amended by our </w:t>
            </w:r>
            <w:hyperlink r:id="rId4">
              <w:r>
                <w:rPr>
                  <w:rStyle w:val="InternetLink"/>
                  <w:rFonts w:ascii="Times New Roman" w:hAnsi="Times New Roman"/>
                  <w:sz w:val="20"/>
                </w:rPr>
                <w:t>Form 10-K/A</w:t>
              </w:r>
            </w:hyperlink>
            <w:r>
              <w:rPr>
                <w:rFonts w:ascii="Times New Roman" w:hAnsi="Times New Roman"/>
                <w:sz w:val="20"/>
              </w:rPr>
              <w:t xml:space="preserve"> filed with the SEC on March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5">
              <w:r>
                <w:rPr>
                  <w:rStyle w:val="InternetLink"/>
                  <w:rFonts w:ascii="Times New Roman" w:hAnsi="Times New Roman"/>
                  <w:sz w:val="20"/>
                </w:rPr>
                <w:t>May 4, 2023</w:t>
              </w:r>
            </w:hyperlink>
            <w:r>
              <w:rPr>
                <w:rFonts w:ascii="Times New Roman" w:hAnsi="Times New Roman"/>
                <w:sz w:val="20"/>
              </w:rPr>
              <w:t xml:space="preserve"> and </w:t>
            </w:r>
            <w:hyperlink r:id="rId6">
              <w:r>
                <w:rPr>
                  <w:rStyle w:val="InternetLink"/>
                  <w:rFonts w:ascii="Times New Roman" w:hAnsi="Times New Roman"/>
                  <w:sz w:val="20"/>
                </w:rPr>
                <w:t>August 3,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with the SEC on March 29, 2023 (excluding those portions that are not incorporated by reference into our Annual Report on Form 10-K for the year ended December 31,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April 4, 2023</w:t>
              </w:r>
            </w:hyperlink>
            <w:r>
              <w:rPr>
                <w:rFonts w:ascii="Times New Roman" w:hAnsi="Times New Roman"/>
                <w:sz w:val="20"/>
              </w:rPr>
              <w:t xml:space="preserve">, </w:t>
            </w:r>
            <w:hyperlink r:id="rId9">
              <w:r>
                <w:rPr>
                  <w:rStyle w:val="InternetLink"/>
                  <w:rFonts w:ascii="Times New Roman" w:hAnsi="Times New Roman"/>
                  <w:sz w:val="20"/>
                </w:rPr>
                <w:t>May  12, 2023</w:t>
              </w:r>
            </w:hyperlink>
            <w:r>
              <w:rPr>
                <w:rFonts w:ascii="Times New Roman" w:hAnsi="Times New Roman"/>
                <w:sz w:val="20"/>
              </w:rPr>
              <w:t xml:space="preserve"> and </w:t>
            </w:r>
            <w:hyperlink r:id="rId10">
              <w:r>
                <w:rPr>
                  <w:rStyle w:val="InternetLink"/>
                  <w:rFonts w:ascii="Times New Roman" w:hAnsi="Times New Roman"/>
                  <w:sz w:val="20"/>
                </w:rPr>
                <w:t>June 8,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filed with the SEC on March  29, 2019, including any amendment or report filed for the purpose of updating such description, including </w:t>
            </w:r>
            <w:hyperlink r:id="rId12">
              <w:r>
                <w:rPr>
                  <w:rStyle w:val="InternetLink"/>
                  <w:rFonts w:ascii="Times New Roman" w:hAnsi="Times New Roman"/>
                  <w:sz w:val="20"/>
                </w:rPr>
                <w:t>Exhibit 4.3</w:t>
              </w:r>
            </w:hyperlink>
            <w:r>
              <w:rPr>
                <w:rFonts w:ascii="Times New Roman" w:hAnsi="Times New Roman"/>
                <w:sz w:val="20"/>
              </w:rPr>
              <w:t xml:space="preserve"> of our Annual Report on Form 10-K for the year ended December 31, 2019.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the termination of the offering of the common stock covered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NGM Biopharmaceuticals,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333 Oyster Point Boulevard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(650) 243-5555</w:t>
      </w:r>
    </w:p>
    <w:p>
      <w:pPr>
        <w:pStyle w:val="TextBody"/>
        <w:bidi w:val="0"/>
        <w:spacing w:before="0" w:after="0"/>
        <w:jc w:val="center"/>
        <w:rPr>
          <w:rFonts w:ascii="Times New Roman" w:hAnsi="Times New Roman"/>
          <w:sz w:val="20"/>
        </w:rPr>
      </w:pPr>
      <w:r>
        <w:rPr>
          <w:rFonts w:ascii="Times New Roman" w:hAnsi="Times New Roman"/>
          <w:sz w:val="20"/>
        </w:rPr>
        <w:t xml:space="preserve">Attn: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5575" cy="40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55575" cy="40005"/>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48"/>
        </w:rPr>
      </w:pPr>
      <w:r>
        <w:rPr>
          <w:rFonts w:ascii="Times New Roman" w:hAnsi="Times New Roman"/>
          <w:b/>
          <w:sz w:val="48"/>
        </w:rPr>
        <w:t xml:space="preserve">NGM Biopharmaceuticals,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40" w:after="0"/>
        <w:jc w:val="center"/>
        <w:rPr>
          <w:rFonts w:ascii="Times New Roman" w:hAnsi="Times New Roman"/>
          <w:b/>
          <w:sz w:val="28"/>
        </w:rPr>
      </w:pPr>
      <w:r>
        <w:rPr>
          <w:rFonts w:ascii="Times New Roman" w:hAnsi="Times New Roman"/>
          <w:b/>
          <w:sz w:val="28"/>
        </w:rPr>
        <w:t xml:space="preserve">Jefferies </w:t>
      </w:r>
    </w:p>
    <w:p>
      <w:pPr>
        <w:pStyle w:val="TextBody"/>
        <w:bidi w:val="0"/>
        <w:spacing w:before="1440" w:after="0"/>
        <w:jc w:val="center"/>
        <w:rPr>
          <w:rFonts w:ascii="Times New Roman" w:hAnsi="Times New Roman"/>
          <w:b/>
          <w:sz w:val="20"/>
        </w:rPr>
      </w:pPr>
      <w:r>
        <w:rPr>
          <w:rFonts w:ascii="Times New Roman" w:hAnsi="Times New Roman"/>
          <w:b/>
          <w:sz w:val="20"/>
        </w:rPr>
        <w:t xml:space="preserve">August 4,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26332/000162828023005569/ngm-20221231.htm" TargetMode="External"/><Relationship Id="rId4" Type="http://schemas.openxmlformats.org/officeDocument/2006/relationships/hyperlink" Target="http://www.sec.gov/Archives/edgar/data/../../../ix?doc=/Archives/edgar/data/1426332/000119312523055178/d469721d10ka.htm" TargetMode="External"/><Relationship Id="rId5" Type="http://schemas.openxmlformats.org/officeDocument/2006/relationships/hyperlink" Target="http://www.sec.gov/Archives/edgar/data/../../../ix?doc=/Archives/edgar/data/1426332/000162828023015766/ngm-20230331.htm" TargetMode="External"/><Relationship Id="rId6" Type="http://schemas.openxmlformats.org/officeDocument/2006/relationships/hyperlink" Target="http://www.sec.gov/Archives/edgar/data/../../../ix?doc=/Archives/edgar/data/1426332/000162828023027217/ngm-20230630.htm" TargetMode="External"/><Relationship Id="rId7" Type="http://schemas.openxmlformats.org/officeDocument/2006/relationships/hyperlink" Target="http://www.sec.gov/Archives/edgar/data/../../../ix?doc=/Archives/edgar/data/0001426332/000162828023009712/ngm-20230329.htm" TargetMode="External"/><Relationship Id="rId8" Type="http://schemas.openxmlformats.org/officeDocument/2006/relationships/hyperlink" Target="http://www.sec.gov/Archives/edgar/data/1426332/000162828023010574/ngm-20230403.htm" TargetMode="External"/><Relationship Id="rId9" Type="http://schemas.openxmlformats.org/officeDocument/2006/relationships/hyperlink" Target="http://www.sec.gov/Archives/edgar/data/../../../ix?doc=/Archives/edgar/data/0001426332/000119312523143465/d371572d8k.htm" TargetMode="External"/><Relationship Id="rId10" Type="http://schemas.openxmlformats.org/officeDocument/2006/relationships/hyperlink" Target="http://www.sec.gov/Archives/edgar/data/../../../ix?doc=/Archives/edgar/data/0001426332/000119312523162955/d387904d8k.htm" TargetMode="External"/><Relationship Id="rId11" Type="http://schemas.openxmlformats.org/officeDocument/2006/relationships/hyperlink" Target="http://www.sec.gov/Archives/edgar/data/1426332/000119312519092888/d730351d8a12b.htm" TargetMode="External"/><Relationship Id="rId12" Type="http://schemas.openxmlformats.org/officeDocument/2006/relationships/hyperlink" Target="http://www.sec.gov/Archives/edgar/data/1426332/000156459020011422/ngm-ex43_293.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10380</Words>
  <Characters>54183</Characters>
  <CharactersWithSpaces>64663</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