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03/31/2020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9"/>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9"/>
            <w:vMerge w:val="continue"/>
          </w:tcPr>
          <w:p>
            <w:pPr>
              <w:spacing w:after="0"/>
              <w:rPr>
                <w:sz w:val="12"/>
                <w:szCs w:val="12"/>
                <w:color w:val="auto"/>
              </w:rPr>
            </w:pPr>
          </w:p>
        </w:tc>
        <w:tc>
          <w:tcPr>
            <w:tcW w:w="3660" w:type="dxa"/>
            <w:vAlign w:val="bottom"/>
            <w:gridSpan w:val="9"/>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5"/>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5"/>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1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w w:val="89"/>
              </w:rPr>
              <w:t>03/31/2020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118,067</w:t>
            </w:r>
            <w:r>
              <w:rPr>
                <w:rFonts w:ascii="Arial" w:cs="Arial" w:eastAsia="Arial" w:hAnsi="Arial"/>
                <w:sz w:val="22"/>
                <w:szCs w:val="22"/>
                <w:color w:val="008000"/>
                <w:w w:val="88"/>
                <w:vertAlign w:val="superscript"/>
              </w:rPr>
              <w:t>(1)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12.53</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1,156,237</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w w:val="89"/>
              </w:rPr>
              <w:t>04/01/2020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118,067</w:t>
            </w:r>
            <w:r>
              <w:rPr>
                <w:rFonts w:ascii="Arial" w:cs="Arial" w:eastAsia="Arial" w:hAnsi="Arial"/>
                <w:sz w:val="22"/>
                <w:szCs w:val="22"/>
                <w:color w:val="008000"/>
                <w:w w:val="88"/>
                <w:vertAlign w:val="superscript"/>
              </w:rPr>
              <w:t>(1)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12.26</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1,274,304</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w w:val="89"/>
              </w:rPr>
              <w:t>04/02/2020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14,850</w:t>
            </w:r>
            <w:r>
              <w:rPr>
                <w:rFonts w:ascii="Arial" w:cs="Arial" w:eastAsia="Arial" w:hAnsi="Arial"/>
                <w:sz w:val="22"/>
                <w:szCs w:val="22"/>
                <w:color w:val="008000"/>
                <w:w w:val="88"/>
                <w:vertAlign w:val="superscript"/>
              </w:rPr>
              <w:t>(4)</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12.4</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1,289,154</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(6)(7)(8)(9)(10)(11)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w w:val="92"/>
              </w:rPr>
              <w:t>15,000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COLUMN GROUP III,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-6370955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0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0000FF"/>
              </w:rPr>
              <w:t>94158</w:t>
            </w:r>
          </w:p>
        </w:tc>
        <w:tc>
          <w:tcPr>
            <w:tcW w:w="0" w:type="dxa"/>
            <w:vAlign w:val="bottom"/>
          </w:tcPr>
          <w:p>
            <w:pPr>
              <w:spacing w:after="0"/>
              <w:rPr>
                <w:sz w:val="1"/>
                <w:szCs w:val="1"/>
                <w:color w:val="auto"/>
              </w:rPr>
            </w:pPr>
          </w:p>
        </w:tc>
      </w:tr>
      <w:tr>
        <w:trPr>
          <w:trHeight w:val="114"/>
        </w:trPr>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0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93980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III-A,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w w:val="99"/>
              </w:rPr>
            </w:pPr>
            <w:hyperlink r:id="rId20">
              <w:r>
                <w:rPr>
                  <w:rFonts w:ascii="Arial" w:cs="Arial" w:eastAsia="Arial" w:hAnsi="Arial"/>
                  <w:sz w:val="21"/>
                  <w:szCs w:val="21"/>
                  <w:u w:val="single" w:color="auto"/>
                  <w:color w:val="0000EE"/>
                  <w:w w:val="99"/>
                </w:rPr>
                <w:t>COLUMN GROUP III GP,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4036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40360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55,448 shares of Common Stock held directly by The Column Group III, LP ("TCG III LP") and 62,619 shares of Common Stock held directly by The Column Group III-A, LP ("TCG III-A LP").</w:t>
      </w:r>
    </w:p>
    <w:p>
      <w:pPr>
        <w:spacing w:after="0" w:line="15" w:lineRule="exact"/>
        <w:rPr>
          <w:rFonts w:ascii="Arial" w:cs="Arial" w:eastAsia="Arial" w:hAnsi="Arial"/>
          <w:sz w:val="13"/>
          <w:szCs w:val="13"/>
          <w:color w:val="008000"/>
        </w:rPr>
      </w:pPr>
    </w:p>
    <w:p>
      <w:pPr>
        <w:jc w:val="both"/>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6,974 shares of Common Stock held directly by TCG III LP and 7,876 shares of Common Stock held directly by TCG III-A LP.</w:t>
      </w:r>
    </w:p>
    <w:p>
      <w:pPr>
        <w:spacing w:after="0" w:line="50" w:lineRule="exact"/>
        <w:rPr>
          <w:rFonts w:ascii="Arial" w:cs="Arial" w:eastAsia="Arial" w:hAnsi="Arial"/>
          <w:sz w:val="13"/>
          <w:szCs w:val="13"/>
          <w:color w:val="008000"/>
        </w:rPr>
      </w:pPr>
    </w:p>
    <w:p>
      <w:pPr>
        <w:ind w:left="20" w:right="18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1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21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2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04/02/2020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7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1" Type="http://schemas.openxmlformats.org/officeDocument/2006/relationships/image" Target="media/image9.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68159" TargetMode="External"/><Relationship Id="rId19" Type="http://schemas.openxmlformats.org/officeDocument/2006/relationships/hyperlink" Target="http://www.sec.gov/cgi-bin/browse-edgar?action=getcompany&amp;CIK=0001668085" TargetMode="External"/><Relationship Id="rId20"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2020-04-02T17:10:09Z</dcterms:created>
  <dcterms:modified xsi:type="dcterms:W3CDTF">2020-04-02T17:10:09Z</dcterms:modified>
</cp:coreProperties>
</file>