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tcBorders>
              <w:top w:val="single" w:sz="8" w:color="2C2C2C"/>
              <w:bottom w:val="single" w:sz="8" w:color="2C2C2C"/>
            </w:tcBorders>
            <w:gridSpan w:val="9"/>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3840" w:type="dxa"/>
            <w:vAlign w:val="bottom"/>
            <w:gridSpan w:val="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9"/>
            <w:vMerge w:val="continue"/>
          </w:tcPr>
          <w:p>
            <w:pPr>
              <w:spacing w:after="0"/>
              <w:rPr>
                <w:sz w:val="12"/>
                <w:szCs w:val="12"/>
                <w:color w:val="auto"/>
              </w:rPr>
            </w:pPr>
          </w:p>
        </w:tc>
        <w:tc>
          <w:tcPr>
            <w:tcW w:w="3840" w:type="dxa"/>
            <w:vAlign w:val="bottom"/>
            <w:gridSpan w:val="9"/>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4"/>
            <w:vMerge w:val="restart"/>
          </w:tcPr>
          <w:p>
            <w:pPr>
              <w:ind w:left="50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gridSpan w:val="6"/>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8"/>
                <w:szCs w:val="18"/>
                <w:color w:val="0000FF"/>
              </w:rPr>
              <w:t>X</w:t>
            </w:r>
          </w:p>
        </w:tc>
        <w:tc>
          <w:tcPr>
            <w:tcW w:w="3000" w:type="dxa"/>
            <w:vAlign w:val="bottom"/>
            <w:gridSpan w:val="6"/>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30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9"/>
          </w:tcPr>
          <w:p>
            <w:pPr>
              <w:jc w:val="center"/>
              <w:ind w:right="2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 (D)</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3"/>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 (I)</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Arial" w:cs="Arial" w:eastAsia="Arial" w:hAnsi="Arial"/>
                <w:sz w:val="18"/>
                <w:szCs w:val="18"/>
                <w:color w:val="0000FF"/>
              </w:rPr>
              <w:t>11/04/2019</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w w:val="85"/>
              </w:rPr>
              <w:t>P</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5"/>
              </w:rPr>
              <w:t>8,409</w:t>
            </w:r>
            <w:r>
              <w:rPr>
                <w:rFonts w:ascii="Arial" w:cs="Arial" w:eastAsia="Arial" w:hAnsi="Arial"/>
                <w:sz w:val="22"/>
                <w:szCs w:val="22"/>
                <w:color w:val="008000"/>
                <w:w w:val="95"/>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11.99</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6"/>
              </w:rPr>
              <w:t>253,907</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(4)</w:t>
            </w:r>
          </w:p>
        </w:tc>
        <w:tc>
          <w:tcPr>
            <w:tcW w:w="1080" w:type="dxa"/>
            <w:vAlign w:val="bottom"/>
            <w:tcBorders>
              <w:bottom w:val="single" w:sz="8" w:color="2C2C2C"/>
            </w:tcBorders>
            <w:gridSpan w:val="2"/>
          </w:tcPr>
          <w:p>
            <w:pPr>
              <w:ind w:left="40"/>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(5)(6)(7)(8)(9)(10)</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7"/>
              </w:rPr>
              <w:t>15,000</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60" w:type="dxa"/>
            <w:vAlign w:val="bottom"/>
            <w:gridSpan w:val="13"/>
          </w:tcPr>
          <w:p>
            <w:pPr>
              <w:jc w:val="center"/>
              <w:ind w:left="48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COLUMN GROUP III-A,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451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3"/>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COLUMN GROUP III GP,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3,949 shares of Common Stock held directly by The Column Group III, LP ("TCG III LP") and 4,460 shares of Common Stock held directly by The Column Group III-A, LP ("TCG III-A LP").</w:t>
      </w:r>
    </w:p>
    <w:p>
      <w:pPr>
        <w:spacing w:after="0" w:line="64" w:lineRule="exact"/>
        <w:rPr>
          <w:rFonts w:ascii="Arial" w:cs="Arial" w:eastAsia="Arial" w:hAnsi="Arial"/>
          <w:sz w:val="12"/>
          <w:szCs w:val="12"/>
          <w:color w:val="008000"/>
        </w:rPr>
      </w:pPr>
    </w:p>
    <w:p>
      <w:pPr>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4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2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solely by Tim Kutzkey.</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2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11/06/2019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68159" TargetMode="External"/><Relationship Id="rId15" Type="http://schemas.openxmlformats.org/officeDocument/2006/relationships/hyperlink" Target="http://www.sec.gov/cgi-bin/browse-edgar?action=getcompany&amp;CIK=0001668085" TargetMode="External"/><Relationship Id="rId17"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2019-12-24T04:53:56Z</dcterms:created>
  <dcterms:modified xsi:type="dcterms:W3CDTF">2019-12-24T04:53:56Z</dcterms:modified>
</cp:coreProperties>
</file>