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953"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3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7"/>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3"/>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right"/>
              <w:ind w:right="138"/>
              <w:spacing w:after="0"/>
              <w:rPr>
                <w:sz w:val="20"/>
                <w:szCs w:val="20"/>
                <w:color w:val="auto"/>
              </w:rPr>
            </w:pPr>
            <w:r>
              <w:rPr>
                <w:rFonts w:ascii="Arial" w:cs="Arial" w:eastAsia="Arial" w:hAnsi="Arial"/>
                <w:sz w:val="17"/>
                <w:szCs w:val="17"/>
                <w:color w:val="0000FF"/>
              </w:rPr>
              <w:t>03/05/2020</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8,307</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1"/>
              </w:rPr>
              <w:t>445,444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L P</w:t>
              </w:r>
            </w:hyperlink>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COLUMN GROUP III,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-5588000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COLUMN GROUP III-A,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3676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67665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w w:val="99"/>
              </w:rPr>
            </w:pPr>
            <w:hyperlink r:id="rId19">
              <w:r>
                <w:rPr>
                  <w:rFonts w:ascii="Arial" w:cs="Arial" w:eastAsia="Arial" w:hAnsi="Arial"/>
                  <w:sz w:val="21"/>
                  <w:szCs w:val="21"/>
                  <w:color w:val="0000EE"/>
                  <w:w w:val="99"/>
                </w:rPr>
                <w:t>COLUMN GROUP III GP,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3,901 shares of Common Stock held directly by The Column Group III, LP ("TCG III LP") and 4,406 shares of Common Stock held directly by The Column Group III-A, LP ("TCG III-A LP").</w:t>
      </w:r>
    </w:p>
    <w:p>
      <w:pPr>
        <w:spacing w:after="0" w:line="1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3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03/06/2020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1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2020-03-06T17:02:25Z</dcterms:created>
  <dcterms:modified xsi:type="dcterms:W3CDTF">2020-03-06T17:02:25Z</dcterms:modified>
</cp:coreProperties>
</file>