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7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Arial" w:cs="Arial" w:eastAsia="Arial" w:hAnsi="Arial"/>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01/24/2022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17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820" w:type="dxa"/>
            <w:vAlign w:val="bottom"/>
            <w:tcBorders>
              <w:top w:val="single" w:sz="8" w:color="9A9A9A"/>
            </w:tcBorders>
          </w:tcPr>
          <w:p>
            <w:pPr>
              <w:spacing w:after="0"/>
              <w:rPr>
                <w:sz w:val="12"/>
                <w:szCs w:val="12"/>
                <w:color w:val="auto"/>
              </w:rPr>
            </w:pPr>
          </w:p>
        </w:tc>
        <w:tc>
          <w:tcPr>
            <w:tcW w:w="13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660" w:type="dxa"/>
            <w:vAlign w:val="bottom"/>
            <w:gridSpan w:val="6"/>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2"/>
                <w:szCs w:val="12"/>
                <w:color w:val="auto"/>
              </w:rPr>
            </w:pPr>
          </w:p>
        </w:tc>
        <w:tc>
          <w:tcPr>
            <w:tcW w:w="3480" w:type="dxa"/>
            <w:vAlign w:val="bottom"/>
            <w:gridSpan w:val="12"/>
          </w:tcPr>
          <w:p>
            <w:pPr>
              <w:ind w:left="14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4"/>
          </w:tcPr>
          <w:p>
            <w:pPr>
              <w:ind w:left="1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9"/>
            <w:vMerge w:val="restart"/>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ind w:left="26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jc w:val="center"/>
              <w:ind w:left="5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gridSpan w:val="3"/>
            <w:vMerge w:val="restart"/>
          </w:tcPr>
          <w:p>
            <w:pPr>
              <w:jc w:val="center"/>
              <w:ind w:left="566"/>
              <w:spacing w:after="0"/>
              <w:rPr>
                <w:sz w:val="20"/>
                <w:szCs w:val="20"/>
                <w:color w:val="auto"/>
              </w:rPr>
            </w:pPr>
            <w:r>
              <w:rPr>
                <w:rFonts w:ascii="Arial" w:cs="Arial" w:eastAsia="Arial" w:hAnsi="Arial"/>
                <w:sz w:val="17"/>
                <w:szCs w:val="17"/>
                <w:color w:val="0000FF"/>
                <w:w w:val="93"/>
              </w:rPr>
              <w:t>01/24/2022</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vMerge w:val="restart"/>
          </w:tcPr>
          <w:p>
            <w:pPr>
              <w:jc w:val="center"/>
              <w:ind w:right="298"/>
              <w:spacing w:after="0"/>
              <w:rPr>
                <w:sz w:val="20"/>
                <w:szCs w:val="20"/>
                <w:color w:val="auto"/>
              </w:rPr>
            </w:pPr>
            <w:r>
              <w:rPr>
                <w:rFonts w:ascii="Arial" w:cs="Arial" w:eastAsia="Arial" w:hAnsi="Arial"/>
                <w:sz w:val="13"/>
                <w:szCs w:val="13"/>
                <w:color w:val="0000FF"/>
                <w:w w:val="91"/>
              </w:rPr>
              <w:t>P</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4"/>
              </w:rPr>
              <w:t>241,750</w:t>
            </w:r>
          </w:p>
        </w:tc>
        <w:tc>
          <w:tcPr>
            <w:tcW w:w="56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22"/>
                <w:szCs w:val="22"/>
                <w:color w:val="auto"/>
              </w:rPr>
            </w:pPr>
          </w:p>
        </w:tc>
        <w:tc>
          <w:tcPr>
            <w:tcW w:w="260" w:type="dxa"/>
            <w:vAlign w:val="bottom"/>
            <w:vMerge w:val="restart"/>
          </w:tcPr>
          <w:p>
            <w:pPr>
              <w:jc w:val="right"/>
              <w:ind w:right="41"/>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241,750</w:t>
            </w:r>
          </w:p>
        </w:tc>
        <w:tc>
          <w:tcPr>
            <w:tcW w:w="300" w:type="dxa"/>
            <w:vAlign w:val="bottom"/>
          </w:tcPr>
          <w:p>
            <w:pPr>
              <w:spacing w:after="0"/>
              <w:rPr>
                <w:sz w:val="22"/>
                <w:szCs w:val="22"/>
                <w:color w:val="auto"/>
              </w:rPr>
            </w:pPr>
          </w:p>
        </w:tc>
        <w:tc>
          <w:tcPr>
            <w:tcW w:w="560" w:type="dxa"/>
            <w:vAlign w:val="bottom"/>
            <w:vMerge w:val="restart"/>
          </w:tcPr>
          <w:p>
            <w:pPr>
              <w:jc w:val="center"/>
              <w:ind w:right="301"/>
              <w:spacing w:after="0"/>
              <w:rPr>
                <w:sz w:val="20"/>
                <w:szCs w:val="20"/>
                <w:color w:val="auto"/>
              </w:rPr>
            </w:pPr>
            <w:r>
              <w:rPr>
                <w:rFonts w:ascii="Arial" w:cs="Arial" w:eastAsia="Arial" w:hAnsi="Arial"/>
                <w:sz w:val="17"/>
                <w:szCs w:val="17"/>
                <w:color w:val="0000FF"/>
              </w:rPr>
              <w:t>I</w:t>
            </w:r>
          </w:p>
        </w:tc>
        <w:tc>
          <w:tcPr>
            <w:tcW w:w="320" w:type="dxa"/>
            <w:vAlign w:val="bottom"/>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760" w:type="dxa"/>
            <w:vAlign w:val="bottom"/>
            <w:tcBorders>
              <w:top w:val="single" w:sz="8" w:color="2C2C2C"/>
            </w:tcBorders>
            <w:gridSpan w:val="3"/>
            <w:vMerge w:val="restart"/>
          </w:tcPr>
          <w:p>
            <w:pPr>
              <w:jc w:val="center"/>
              <w:ind w:left="566"/>
              <w:spacing w:after="0"/>
              <w:rPr>
                <w:sz w:val="20"/>
                <w:szCs w:val="20"/>
                <w:color w:val="auto"/>
              </w:rPr>
            </w:pPr>
            <w:r>
              <w:rPr>
                <w:rFonts w:ascii="Arial" w:cs="Arial" w:eastAsia="Arial" w:hAnsi="Arial"/>
                <w:sz w:val="17"/>
                <w:szCs w:val="17"/>
                <w:color w:val="0000FF"/>
                <w:w w:val="93"/>
              </w:rPr>
              <w:t>01/24/2022</w:t>
            </w: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298"/>
              <w:spacing w:after="0"/>
              <w:rPr>
                <w:sz w:val="20"/>
                <w:szCs w:val="20"/>
                <w:color w:val="auto"/>
              </w:rPr>
            </w:pPr>
            <w:r>
              <w:rPr>
                <w:rFonts w:ascii="Arial" w:cs="Arial" w:eastAsia="Arial" w:hAnsi="Arial"/>
                <w:sz w:val="13"/>
                <w:szCs w:val="13"/>
                <w:color w:val="0000FF"/>
                <w:w w:val="91"/>
              </w:rPr>
              <w:t>P</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8,250</w:t>
            </w:r>
          </w:p>
        </w:tc>
        <w:tc>
          <w:tcPr>
            <w:tcW w:w="56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vMerge w:val="restart"/>
          </w:tcPr>
          <w:p>
            <w:pPr>
              <w:jc w:val="right"/>
              <w:ind w:right="41"/>
              <w:spacing w:after="0"/>
              <w:rPr>
                <w:sz w:val="20"/>
                <w:szCs w:val="20"/>
                <w:color w:val="auto"/>
              </w:rPr>
            </w:pPr>
            <w:r>
              <w:rPr>
                <w:rFonts w:ascii="Arial" w:cs="Arial" w:eastAsia="Arial" w:hAnsi="Arial"/>
                <w:sz w:val="11"/>
                <w:szCs w:val="11"/>
                <w:color w:val="008000"/>
              </w:rPr>
              <w:t>(1)</w:t>
            </w:r>
          </w:p>
        </w:tc>
        <w:tc>
          <w:tcPr>
            <w:tcW w:w="8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9"/>
              </w:rPr>
              <w:t>8,250</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760" w:type="dxa"/>
            <w:vAlign w:val="bottom"/>
            <w:tcBorders>
              <w:top w:val="single" w:sz="8" w:color="2C2C2C"/>
            </w:tcBorders>
            <w:gridSpan w:val="3"/>
            <w:vMerge w:val="restart"/>
          </w:tcPr>
          <w:p>
            <w:pPr>
              <w:jc w:val="center"/>
              <w:ind w:left="566"/>
              <w:spacing w:after="0"/>
              <w:rPr>
                <w:sz w:val="20"/>
                <w:szCs w:val="20"/>
                <w:color w:val="auto"/>
              </w:rPr>
            </w:pPr>
            <w:r>
              <w:rPr>
                <w:rFonts w:ascii="Arial" w:cs="Arial" w:eastAsia="Arial" w:hAnsi="Arial"/>
                <w:sz w:val="17"/>
                <w:szCs w:val="17"/>
                <w:color w:val="0000FF"/>
                <w:w w:val="93"/>
              </w:rPr>
              <w:t>01/25/2022</w:t>
            </w: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298"/>
              <w:spacing w:after="0"/>
              <w:rPr>
                <w:sz w:val="20"/>
                <w:szCs w:val="20"/>
                <w:color w:val="auto"/>
              </w:rPr>
            </w:pPr>
            <w:r>
              <w:rPr>
                <w:rFonts w:ascii="Arial" w:cs="Arial" w:eastAsia="Arial" w:hAnsi="Arial"/>
                <w:sz w:val="13"/>
                <w:szCs w:val="13"/>
                <w:color w:val="0000FF"/>
                <w:w w:val="91"/>
              </w:rPr>
              <w:t>P</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579,910</w:t>
            </w:r>
          </w:p>
        </w:tc>
        <w:tc>
          <w:tcPr>
            <w:tcW w:w="56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vMerge w:val="restart"/>
          </w:tcPr>
          <w:p>
            <w:pPr>
              <w:jc w:val="right"/>
              <w:ind w:right="41"/>
              <w:spacing w:after="0"/>
              <w:rPr>
                <w:sz w:val="20"/>
                <w:szCs w:val="20"/>
                <w:color w:val="auto"/>
              </w:rPr>
            </w:pPr>
            <w:r>
              <w:rPr>
                <w:rFonts w:ascii="Arial" w:cs="Arial" w:eastAsia="Arial" w:hAnsi="Arial"/>
                <w:sz w:val="11"/>
                <w:szCs w:val="11"/>
                <w:color w:val="008000"/>
              </w:rPr>
              <w:t>(4)</w:t>
            </w:r>
          </w:p>
        </w:tc>
        <w:tc>
          <w:tcPr>
            <w:tcW w:w="8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1"/>
              </w:rPr>
              <w:t>821,660</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760" w:type="dxa"/>
            <w:vAlign w:val="bottom"/>
            <w:tcBorders>
              <w:top w:val="single" w:sz="8" w:color="2C2C2C"/>
            </w:tcBorders>
            <w:gridSpan w:val="3"/>
            <w:vMerge w:val="restart"/>
          </w:tcPr>
          <w:p>
            <w:pPr>
              <w:jc w:val="center"/>
              <w:ind w:left="566"/>
              <w:spacing w:after="0"/>
              <w:rPr>
                <w:sz w:val="20"/>
                <w:szCs w:val="20"/>
                <w:color w:val="auto"/>
              </w:rPr>
            </w:pPr>
            <w:r>
              <w:rPr>
                <w:rFonts w:ascii="Arial" w:cs="Arial" w:eastAsia="Arial" w:hAnsi="Arial"/>
                <w:sz w:val="17"/>
                <w:szCs w:val="17"/>
                <w:color w:val="0000FF"/>
                <w:w w:val="93"/>
              </w:rPr>
              <w:t>01/25/2022</w:t>
            </w: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298"/>
              <w:spacing w:after="0"/>
              <w:rPr>
                <w:sz w:val="20"/>
                <w:szCs w:val="20"/>
                <w:color w:val="auto"/>
              </w:rPr>
            </w:pPr>
            <w:r>
              <w:rPr>
                <w:rFonts w:ascii="Arial" w:cs="Arial" w:eastAsia="Arial" w:hAnsi="Arial"/>
                <w:sz w:val="13"/>
                <w:szCs w:val="13"/>
                <w:color w:val="0000FF"/>
                <w:w w:val="91"/>
              </w:rPr>
              <w:t>P</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19,791</w:t>
            </w:r>
          </w:p>
        </w:tc>
        <w:tc>
          <w:tcPr>
            <w:tcW w:w="56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vMerge w:val="restart"/>
          </w:tcPr>
          <w:p>
            <w:pPr>
              <w:jc w:val="right"/>
              <w:ind w:right="41"/>
              <w:spacing w:after="0"/>
              <w:rPr>
                <w:sz w:val="20"/>
                <w:szCs w:val="20"/>
                <w:color w:val="auto"/>
              </w:rPr>
            </w:pPr>
            <w:r>
              <w:rPr>
                <w:rFonts w:ascii="Arial" w:cs="Arial" w:eastAsia="Arial" w:hAnsi="Arial"/>
                <w:sz w:val="11"/>
                <w:szCs w:val="11"/>
                <w:color w:val="008000"/>
              </w:rPr>
              <w:t>(4)</w:t>
            </w:r>
          </w:p>
        </w:tc>
        <w:tc>
          <w:tcPr>
            <w:tcW w:w="8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28,041</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1"/>
              </w:rPr>
              <w:t>11,103,333</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1"/>
              </w:rPr>
              <w:t>858,035</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1"/>
              </w:rPr>
              <w:t>968,990</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2"/>
              </w:rPr>
              <w:t>2,265,758</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2"/>
              </w:rPr>
              <w:t>1,298,908</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2"/>
              </w:rPr>
              <w:t>1,298,908</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1"/>
              </w:rPr>
              <w:t>100,000</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1"/>
              </w:rPr>
              <w:t>100,000</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6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80,000</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281"/>
              <w:spacing w:after="0"/>
              <w:rPr>
                <w:sz w:val="20"/>
                <w:szCs w:val="20"/>
                <w:color w:val="auto"/>
              </w:rPr>
            </w:pPr>
            <w:r>
              <w:rPr>
                <w:rFonts w:ascii="Arial" w:cs="Arial" w:eastAsia="Arial" w:hAnsi="Arial"/>
                <w:sz w:val="17"/>
                <w:szCs w:val="17"/>
                <w:color w:val="0000FF"/>
                <w:w w:val="97"/>
              </w:rPr>
              <w:t>D</w:t>
            </w:r>
          </w:p>
        </w:tc>
        <w:tc>
          <w:tcPr>
            <w:tcW w:w="3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110,000</w:t>
            </w:r>
          </w:p>
        </w:tc>
        <w:tc>
          <w:tcPr>
            <w:tcW w:w="300" w:type="dxa"/>
            <w:vAlign w:val="bottom"/>
          </w:tcPr>
          <w:p>
            <w:pPr>
              <w:spacing w:after="0"/>
              <w:rPr>
                <w:sz w:val="22"/>
                <w:szCs w:val="22"/>
                <w:color w:val="auto"/>
              </w:rPr>
            </w:pPr>
          </w:p>
        </w:tc>
        <w:tc>
          <w:tcPr>
            <w:tcW w:w="560" w:type="dxa"/>
            <w:vAlign w:val="bottom"/>
            <w:vMerge w:val="restart"/>
          </w:tcPr>
          <w:p>
            <w:pPr>
              <w:jc w:val="center"/>
              <w:ind w:right="301"/>
              <w:spacing w:after="0"/>
              <w:rPr>
                <w:sz w:val="20"/>
                <w:szCs w:val="20"/>
                <w:color w:val="auto"/>
              </w:rPr>
            </w:pPr>
            <w:r>
              <w:rPr>
                <w:rFonts w:ascii="Arial" w:cs="Arial" w:eastAsia="Arial" w:hAnsi="Arial"/>
                <w:sz w:val="17"/>
                <w:szCs w:val="17"/>
                <w:color w:val="0000FF"/>
              </w:rPr>
              <w:t>I</w:t>
            </w:r>
          </w:p>
        </w:tc>
        <w:tc>
          <w:tcPr>
            <w:tcW w:w="320" w:type="dxa"/>
            <w:vAlign w:val="bottom"/>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4"/>
          </w:tcPr>
          <w:p>
            <w:pPr>
              <w:jc w:val="center"/>
              <w:ind w:righ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679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679575"/>
                    </a:xfrm>
                    <a:prstGeom prst="rect">
                      <a:avLst/>
                    </a:prstGeom>
                    <a:noFill/>
                  </pic:spPr>
                </pic:pic>
              </a:graphicData>
            </a:graphic>
          </wp:anchor>
        </w:drawing>
      </w:r>
    </w:p>
    <w:p>
      <w:pPr>
        <w:sectPr>
          <w:pgSz w:w="11900" w:h="16838" w:orient="portrait"/>
          <w:cols w:equalWidth="0" w:num="1">
            <w:col w:w="11080"/>
          </w:cols>
          <w:pgMar w:left="460" w:top="225" w:right="359" w:bottom="17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960" w:type="dxa"/>
            <w:vAlign w:val="bottom"/>
            <w:gridSpan w:val="9"/>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gridSpan w:val="6"/>
          </w:tcPr>
          <w:p>
            <w:pPr>
              <w:ind w:left="50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2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4"/>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4"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20"/>
              <w:spacing w:after="0" w:line="12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5340" w:type="dxa"/>
            <w:vAlign w:val="bottom"/>
            <w:gridSpan w:val="6"/>
          </w:tcPr>
          <w:p>
            <w:pPr>
              <w:ind w:left="40"/>
              <w:spacing w:after="0" w:line="67" w:lineRule="exact"/>
              <w:rPr>
                <w:sz w:val="20"/>
                <w:szCs w:val="20"/>
                <w:color w:val="auto"/>
              </w:rPr>
            </w:pPr>
            <w:r>
              <w:rPr>
                <w:rFonts w:ascii="Arial" w:cs="Arial" w:eastAsia="Arial" w:hAnsi="Arial"/>
                <w:sz w:val="7"/>
                <w:szCs w:val="7"/>
                <w:color w:val="008000"/>
              </w:rPr>
              <w:t>1. Represents a purchase of common stock pursuant to a block trade at a price of $14.64 per share.</w:t>
            </w: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740" w:type="dxa"/>
            <w:vAlign w:val="bottom"/>
          </w:tcPr>
          <w:p>
            <w:pPr>
              <w:spacing w:after="0" w:line="81" w:lineRule="exact"/>
              <w:rPr>
                <w:sz w:val="20"/>
                <w:szCs w:val="20"/>
                <w:color w:val="auto"/>
              </w:rPr>
            </w:pPr>
            <w:r>
              <w:rPr>
                <w:rFonts w:ascii="Arial" w:cs="Arial" w:eastAsia="Arial" w:hAnsi="Arial"/>
                <w:sz w:val="8"/>
                <w:szCs w:val="8"/>
                <w:b w:val="1"/>
                <w:bCs w:val="1"/>
                <w:color w:val="auto"/>
              </w:rPr>
              <w:t>Derivative</w:t>
            </w: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Acquired</w:t>
            </w: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40" w:right="160"/>
        <w:spacing w:after="0" w:line="288" w:lineRule="auto"/>
        <w:rPr>
          <w:sz w:val="20"/>
          <w:szCs w:val="20"/>
          <w:color w:val="auto"/>
        </w:rPr>
      </w:pPr>
      <w:r>
        <w:rPr>
          <w:rFonts w:ascii="Arial" w:cs="Arial" w:eastAsia="Arial" w:hAnsi="Arial"/>
          <w:sz w:val="10"/>
          <w:szCs w:val="10"/>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301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301875"/>
                    </a:xfrm>
                    <a:prstGeom prst="rect">
                      <a:avLst/>
                    </a:prstGeom>
                    <a:noFill/>
                  </pic:spPr>
                </pic:pic>
              </a:graphicData>
            </a:graphic>
          </wp:anchor>
        </w:drawing>
        <w:t>2. The securities</w:t>
      </w:r>
      <w:r>
        <w:rPr>
          <w:rFonts w:ascii="Arial" w:cs="Arial" w:eastAsia="Arial" w:hAnsi="Arial"/>
          <w:sz w:val="8"/>
          <w:szCs w:val="8"/>
          <w:b w:val="1"/>
          <w:bCs w:val="1"/>
          <w:color w:val="000000"/>
        </w:rPr>
        <w:t>Security</w:t>
      </w:r>
      <w:r>
        <w:rPr>
          <w:rFonts w:ascii="Arial" w:cs="Arial" w:eastAsia="Arial" w:hAnsi="Arial"/>
          <w:sz w:val="10"/>
          <w:szCs w:val="10"/>
          <w:color w:val="008000"/>
        </w:rPr>
        <w:t>aredirectly held by The Column Group IV, LP ("TCG IV LP"). The Column</w:t>
      </w:r>
      <w:r>
        <w:rPr>
          <w:rFonts w:ascii="Arial" w:cs="Arial" w:eastAsia="Arial" w:hAnsi="Arial"/>
          <w:sz w:val="8"/>
          <w:szCs w:val="8"/>
          <w:b w:val="1"/>
          <w:bCs w:val="1"/>
          <w:color w:val="000000"/>
        </w:rPr>
        <w:t>(A)or</w:t>
      </w:r>
      <w:r>
        <w:rPr>
          <w:rFonts w:ascii="Arial" w:cs="Arial" w:eastAsia="Arial" w:hAnsi="Arial"/>
          <w:sz w:val="10"/>
          <w:szCs w:val="10"/>
          <w:color w:val="008000"/>
        </w:rPr>
        <w:t xml:space="preserve"> Group IV GP, LP ("TCG IV GP LP")</w:t>
      </w:r>
      <w:r>
        <w:rPr>
          <w:rFonts w:ascii="Arial" w:cs="Arial" w:eastAsia="Arial" w:hAnsi="Arial"/>
          <w:sz w:val="8"/>
          <w:szCs w:val="8"/>
          <w:b w:val="1"/>
          <w:bCs w:val="1"/>
          <w:color w:val="000000"/>
        </w:rPr>
        <w:t>Security</w:t>
      </w:r>
      <w:r>
        <w:rPr>
          <w:rFonts w:ascii="Arial" w:cs="Arial" w:eastAsia="Arial" w:hAnsi="Arial"/>
          <w:sz w:val="10"/>
          <w:szCs w:val="10"/>
          <w:color w:val="008000"/>
        </w:rPr>
        <w:t>isthegeneral</w:t>
      </w:r>
      <w:r>
        <w:rPr>
          <w:rFonts w:ascii="Arial" w:cs="Arial" w:eastAsia="Arial" w:hAnsi="Arial"/>
          <w:sz w:val="8"/>
          <w:szCs w:val="8"/>
          <w:b w:val="1"/>
          <w:bCs w:val="1"/>
          <w:color w:val="000000"/>
        </w:rPr>
        <w:t>(Istr.</w:t>
      </w:r>
      <w:r>
        <w:rPr>
          <w:rFonts w:ascii="Arial" w:cs="Arial" w:eastAsia="Arial" w:hAnsi="Arial"/>
          <w:sz w:val="10"/>
          <w:szCs w:val="10"/>
          <w:color w:val="008000"/>
        </w:rPr>
        <w:t xml:space="preserve"> partner of TCG</w:t>
      </w:r>
      <w:r>
        <w:rPr>
          <w:rFonts w:ascii="Arial" w:cs="Arial" w:eastAsia="Arial" w:hAnsi="Arial"/>
          <w:sz w:val="8"/>
          <w:szCs w:val="8"/>
          <w:b w:val="1"/>
          <w:bCs w:val="1"/>
          <w:color w:val="000000"/>
        </w:rPr>
        <w:t>Following</w:t>
      </w:r>
      <w:r>
        <w:rPr>
          <w:rFonts w:ascii="Arial" w:cs="Arial" w:eastAsia="Arial" w:hAnsi="Arial"/>
          <w:sz w:val="10"/>
          <w:szCs w:val="10"/>
          <w:color w:val="008000"/>
        </w:rPr>
        <w:t>IVLPand may be</w:t>
      </w:r>
      <w:r>
        <w:rPr>
          <w:rFonts w:ascii="Arial" w:cs="Arial" w:eastAsia="Arial" w:hAnsi="Arial"/>
          <w:sz w:val="8"/>
          <w:szCs w:val="8"/>
          <w:b w:val="1"/>
          <w:bCs w:val="1"/>
          <w:color w:val="000000"/>
        </w:rPr>
        <w:t>(I)</w:t>
      </w:r>
      <w:r>
        <w:rPr>
          <w:rFonts w:ascii="Arial" w:cs="Arial" w:eastAsia="Arial" w:hAnsi="Arial"/>
          <w:sz w:val="10"/>
          <w:szCs w:val="10"/>
          <w:color w:val="008000"/>
        </w:rPr>
        <w:t>deemed</w:t>
      </w:r>
      <w:r>
        <w:rPr>
          <w:rFonts w:ascii="Arial" w:cs="Arial" w:eastAsia="Arial" w:hAnsi="Arial"/>
          <w:sz w:val="8"/>
          <w:szCs w:val="8"/>
          <w:b w:val="1"/>
          <w:bCs w:val="1"/>
          <w:color w:val="000000"/>
        </w:rPr>
        <w:t>(Instr.4)</w:t>
      </w:r>
      <w:r>
        <w:rPr>
          <w:rFonts w:ascii="Arial" w:cs="Arial" w:eastAsia="Arial" w:hAnsi="Arial"/>
          <w:sz w:val="10"/>
          <w:szCs w:val="10"/>
          <w:color w:val="008000"/>
        </w:rPr>
        <w:t>to have voting and investment power with respect to these securities. TCG IV GP LLC ("TCG IV LLC")</w:t>
      </w:r>
      <w:r>
        <w:rPr>
          <w:rFonts w:ascii="Arial" w:cs="Arial" w:eastAsia="Arial" w:hAnsi="Arial"/>
          <w:sz w:val="8"/>
          <w:szCs w:val="8"/>
          <w:b w:val="1"/>
          <w:bCs w:val="1"/>
          <w:color w:val="000000"/>
        </w:rPr>
        <w:t>Dispos</w:t>
      </w:r>
      <w:r>
        <w:rPr>
          <w:rFonts w:ascii="Arial" w:cs="Arial" w:eastAsia="Arial" w:hAnsi="Arial"/>
          <w:sz w:val="10"/>
          <w:szCs w:val="10"/>
          <w:color w:val="008000"/>
        </w:rPr>
        <w:t>isthe</w:t>
      </w:r>
      <w:r>
        <w:rPr>
          <w:rFonts w:ascii="Arial" w:cs="Arial" w:eastAsia="Arial" w:hAnsi="Arial"/>
          <w:sz w:val="8"/>
          <w:szCs w:val="8"/>
          <w:b w:val="1"/>
          <w:bCs w:val="1"/>
          <w:color w:val="000000"/>
        </w:rPr>
        <w:t>d</w:t>
      </w:r>
      <w:r>
        <w:rPr>
          <w:rFonts w:ascii="Arial" w:cs="Arial" w:eastAsia="Arial" w:hAnsi="Arial"/>
          <w:sz w:val="10"/>
          <w:szCs w:val="10"/>
          <w:color w:val="008000"/>
        </w:rPr>
        <w:t>general partner of TCG IV GP LP</w:t>
      </w:r>
      <w:r>
        <w:rPr>
          <w:rFonts w:ascii="Arial" w:cs="Arial" w:eastAsia="Arial" w:hAnsi="Arial"/>
          <w:sz w:val="8"/>
          <w:szCs w:val="8"/>
          <w:b w:val="1"/>
          <w:bCs w:val="1"/>
          <w:color w:val="000000"/>
        </w:rPr>
        <w:t>3</w:t>
      </w:r>
      <w:r>
        <w:rPr>
          <w:rFonts w:ascii="Arial" w:cs="Arial" w:eastAsia="Arial" w:hAnsi="Arial"/>
          <w:sz w:val="10"/>
          <w:szCs w:val="10"/>
          <w:color w:val="008000"/>
        </w:rPr>
        <w:t xml:space="preserve"> and</w:t>
      </w:r>
      <w:r>
        <w:rPr>
          <w:rFonts w:ascii="Arial" w:cs="Arial" w:eastAsia="Arial" w:hAnsi="Arial"/>
          <w:sz w:val="8"/>
          <w:szCs w:val="8"/>
          <w:b w:val="1"/>
          <w:bCs w:val="1"/>
          <w:color w:val="000000"/>
        </w:rPr>
        <w:t>nd</w:t>
      </w:r>
      <w:r>
        <w:rPr>
          <w:rFonts w:ascii="Arial" w:cs="Arial" w:eastAsia="Arial" w:hAnsi="Arial"/>
          <w:sz w:val="10"/>
          <w:szCs w:val="10"/>
          <w:color w:val="008000"/>
        </w:rPr>
        <w:t>the</w:t>
      </w:r>
      <w:r>
        <w:rPr>
          <w:rFonts w:ascii="Arial" w:cs="Arial" w:eastAsia="Arial" w:hAnsi="Arial"/>
          <w:sz w:val="8"/>
          <w:szCs w:val="8"/>
          <w:b w:val="1"/>
          <w:bCs w:val="1"/>
          <w:color w:val="000000"/>
        </w:rPr>
        <w:t>4)</w:t>
      </w:r>
      <w:r>
        <w:rPr>
          <w:rFonts w:ascii="Arial" w:cs="Arial" w:eastAsia="Arial" w:hAnsi="Arial"/>
          <w:sz w:val="10"/>
          <w:szCs w:val="10"/>
          <w:color w:val="008000"/>
        </w:rPr>
        <w:t xml:space="preserve"> ultimate general partner</w:t>
      </w:r>
      <w:r>
        <w:rPr>
          <w:rFonts w:ascii="Arial" w:cs="Arial" w:eastAsia="Arial" w:hAnsi="Arial"/>
          <w:sz w:val="8"/>
          <w:szCs w:val="8"/>
          <w:b w:val="1"/>
          <w:bCs w:val="1"/>
          <w:color w:val="000000"/>
        </w:rPr>
        <w:t>Reported</w:t>
      </w:r>
      <w:r>
        <w:rPr>
          <w:rFonts w:ascii="Arial" w:cs="Arial" w:eastAsia="Arial" w:hAnsi="Arial"/>
          <w:sz w:val="10"/>
          <w:szCs w:val="10"/>
          <w:color w:val="008000"/>
        </w:rPr>
        <w:t>ofTCG IV LP and may be deemed to</w:t>
      </w:r>
    </w:p>
    <w:p>
      <w:pPr>
        <w:spacing w:after="0" w:line="1" w:lineRule="exact"/>
        <w:rPr>
          <w:sz w:val="20"/>
          <w:szCs w:val="20"/>
          <w:color w:val="auto"/>
        </w:rPr>
      </w:pPr>
    </w:p>
    <w:p>
      <w:pPr>
        <w:ind w:left="4680" w:right="400" w:hanging="4636"/>
        <w:spacing w:after="0"/>
        <w:rPr>
          <w:sz w:val="20"/>
          <w:szCs w:val="20"/>
          <w:color w:val="auto"/>
        </w:rPr>
      </w:pPr>
      <w:r>
        <w:rPr>
          <w:rFonts w:ascii="Arial" w:cs="Arial" w:eastAsia="Arial" w:hAnsi="Arial"/>
          <w:sz w:val="10"/>
          <w:szCs w:val="10"/>
          <w:color w:val="008000"/>
        </w:rPr>
        <w:t>have voting and investment power with respect to these securities. The managing members</w:t>
      </w:r>
      <w:r>
        <w:rPr>
          <w:rFonts w:ascii="Arial" w:cs="Arial" w:eastAsia="Arial" w:hAnsi="Arial"/>
          <w:sz w:val="8"/>
          <w:szCs w:val="8"/>
          <w:b w:val="1"/>
          <w:bCs w:val="1"/>
          <w:color w:val="000000"/>
        </w:rPr>
        <w:t>of(D)</w:t>
      </w:r>
      <w:r>
        <w:rPr>
          <w:rFonts w:ascii="Arial" w:cs="Arial" w:eastAsia="Arial" w:hAnsi="Arial"/>
          <w:sz w:val="10"/>
          <w:szCs w:val="10"/>
          <w:color w:val="008000"/>
        </w:rPr>
        <w:t>of TCG IV LLC are the Reporting Person, a member of the issuer's board</w:t>
      </w:r>
      <w:r>
        <w:rPr>
          <w:rFonts w:ascii="Arial" w:cs="Arial" w:eastAsia="Arial" w:hAnsi="Arial"/>
          <w:sz w:val="8"/>
          <w:szCs w:val="8"/>
          <w:b w:val="1"/>
          <w:bCs w:val="1"/>
          <w:color w:val="000000"/>
        </w:rPr>
        <w:t>Transaction(s)</w:t>
      </w:r>
      <w:r>
        <w:rPr>
          <w:rFonts w:ascii="Arial" w:cs="Arial" w:eastAsia="Arial" w:hAnsi="Arial"/>
          <w:sz w:val="10"/>
          <w:szCs w:val="10"/>
          <w:color w:val="008000"/>
        </w:rPr>
        <w:t xml:space="preserve">ofdirectors, Peter Svennilson and </w:t>
      </w:r>
      <w:r>
        <w:rPr>
          <w:rFonts w:ascii="Arial" w:cs="Arial" w:eastAsia="Arial" w:hAnsi="Arial"/>
          <w:sz w:val="8"/>
          <w:szCs w:val="8"/>
          <w:b w:val="1"/>
          <w:bCs w:val="1"/>
          <w:color w:val="000000"/>
        </w:rPr>
        <w:t>(Instr. 3, 4 (Instr. 4)</w:t>
      </w:r>
    </w:p>
    <w:p>
      <w:pPr>
        <w:spacing w:after="0" w:line="48" w:lineRule="exact"/>
        <w:rPr>
          <w:sz w:val="20"/>
          <w:szCs w:val="20"/>
          <w:color w:val="auto"/>
        </w:rPr>
      </w:pPr>
    </w:p>
    <w:p>
      <w:pPr>
        <w:ind w:left="4680" w:right="360" w:hanging="4636"/>
        <w:spacing w:after="0"/>
        <w:rPr>
          <w:sz w:val="20"/>
          <w:szCs w:val="20"/>
          <w:color w:val="auto"/>
        </w:rPr>
      </w:pPr>
      <w:r>
        <w:rPr>
          <w:rFonts w:ascii="Arial" w:cs="Arial" w:eastAsia="Arial" w:hAnsi="Arial"/>
          <w:sz w:val="11"/>
          <w:szCs w:val="11"/>
          <w:color w:val="008000"/>
        </w:rPr>
        <w:t xml:space="preserve">Tim Kutzkey (collectively, the "TCG IV Managing Members"). The TCG IV Managing Members may be deemed to share voting and investment power with respect to such securities. TCG IV GP LP, </w:t>
      </w:r>
      <w:r>
        <w:rPr>
          <w:rFonts w:ascii="Arial" w:cs="Arial" w:eastAsia="Arial" w:hAnsi="Arial"/>
          <w:sz w:val="9"/>
          <w:szCs w:val="9"/>
          <w:b w:val="1"/>
          <w:bCs w:val="1"/>
          <w:color w:val="000000"/>
        </w:rPr>
        <w:t>and 5)</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TCG IV LLC and each of the TCG IV Managing Members disclaim beneficial ownership of these securities, except to the extent of their respective pecuniary interest in such securities.</w:t>
      </w:r>
    </w:p>
    <w:p>
      <w:pPr>
        <w:spacing w:after="0" w:line="40" w:lineRule="exact"/>
        <w:rPr>
          <w:sz w:val="20"/>
          <w:szCs w:val="20"/>
          <w:color w:val="auto"/>
        </w:rPr>
      </w:pPr>
    </w:p>
    <w:p>
      <w:pPr>
        <w:jc w:val="both"/>
        <w:ind w:left="40" w:right="380" w:firstLine="7"/>
        <w:spacing w:after="0" w:line="259"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IV-A, LP ("TCG IV-A LP"). The Column Group IV GP,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480" w:type="dxa"/>
            <w:vAlign w:val="bottom"/>
            <w:gridSpan w:val="2"/>
          </w:tcPr>
          <w:p>
            <w:pPr>
              <w:spacing w:after="0"/>
              <w:rPr>
                <w:sz w:val="20"/>
                <w:szCs w:val="20"/>
                <w:color w:val="auto"/>
              </w:rPr>
            </w:pPr>
            <w:r>
              <w:rPr>
                <w:rFonts w:ascii="Arial" w:cs="Arial" w:eastAsia="Arial" w:hAnsi="Arial"/>
                <w:sz w:val="13"/>
                <w:szCs w:val="13"/>
                <w:color w:val="008000"/>
              </w:rPr>
              <w:t>extent of their respective pecuniary interest in such securities.</w:t>
            </w: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20"/>
                <w:szCs w:val="20"/>
                <w:color w:val="auto"/>
              </w:rPr>
            </w:pPr>
            <w:r>
              <w:rPr>
                <w:rFonts w:ascii="Arial" w:cs="Arial" w:eastAsia="Arial" w:hAnsi="Arial"/>
                <w:sz w:val="13"/>
                <w:szCs w:val="13"/>
                <w:color w:val="008000"/>
                <w:w w:val="91"/>
              </w:rPr>
              <w:t>4.</w:t>
            </w:r>
          </w:p>
        </w:tc>
        <w:tc>
          <w:tcPr>
            <w:tcW w:w="5980" w:type="dxa"/>
            <w:vAlign w:val="bottom"/>
            <w:gridSpan w:val="2"/>
          </w:tcPr>
          <w:p>
            <w:pPr>
              <w:ind w:left="20"/>
              <w:spacing w:after="0"/>
              <w:rPr>
                <w:sz w:val="20"/>
                <w:szCs w:val="20"/>
                <w:color w:val="auto"/>
              </w:rPr>
            </w:pPr>
            <w:r>
              <w:rPr>
                <w:rFonts w:ascii="Arial" w:cs="Arial" w:eastAsia="Arial" w:hAnsi="Arial"/>
                <w:sz w:val="13"/>
                <w:szCs w:val="13"/>
                <w:color w:val="008000"/>
              </w:rPr>
              <w:t>Represents a purchase of common stock pursuant to a block trade at a price of $14.30 per share.</w:t>
            </w:r>
          </w:p>
        </w:tc>
        <w:tc>
          <w:tcPr>
            <w:tcW w:w="740" w:type="dxa"/>
            <w:vAlign w:val="bottom"/>
          </w:tcPr>
          <w:p>
            <w:pPr>
              <w:spacing w:after="0"/>
              <w:rPr>
                <w:sz w:val="12"/>
                <w:szCs w:val="12"/>
                <w:color w:val="auto"/>
              </w:rPr>
            </w:pPr>
          </w:p>
        </w:tc>
        <w:tc>
          <w:tcPr>
            <w:tcW w:w="3960" w:type="dxa"/>
            <w:vAlign w:val="bottom"/>
          </w:tcPr>
          <w:p>
            <w:pPr>
              <w:ind w:left="460"/>
              <w:spacing w:after="0"/>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107"/>
        </w:trPr>
        <w:tc>
          <w:tcPr>
            <w:tcW w:w="120" w:type="dxa"/>
            <w:vAlign w:val="bottom"/>
            <w:vMerge w:val="restart"/>
          </w:tcPr>
          <w:p>
            <w:pPr>
              <w:spacing w:after="0"/>
              <w:rPr>
                <w:sz w:val="20"/>
                <w:szCs w:val="20"/>
                <w:color w:val="auto"/>
              </w:rPr>
            </w:pPr>
            <w:r>
              <w:rPr>
                <w:rFonts w:ascii="Arial" w:cs="Arial" w:eastAsia="Arial" w:hAnsi="Arial"/>
                <w:sz w:val="13"/>
                <w:szCs w:val="13"/>
                <w:color w:val="008000"/>
                <w:w w:val="91"/>
              </w:rPr>
              <w:t>5.</w:t>
            </w:r>
          </w:p>
        </w:tc>
        <w:tc>
          <w:tcPr>
            <w:tcW w:w="4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960" w:type="dxa"/>
            <w:vAlign w:val="bottom"/>
          </w:tcPr>
          <w:p>
            <w:pPr>
              <w:ind w:left="460"/>
              <w:spacing w:after="0" w:line="107"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93"/>
        </w:trPr>
        <w:tc>
          <w:tcPr>
            <w:tcW w:w="120" w:type="dxa"/>
            <w:vAlign w:val="bottom"/>
            <w:vMerge w:val="continue"/>
          </w:tcPr>
          <w:p>
            <w:pPr>
              <w:spacing w:after="0"/>
              <w:rPr>
                <w:sz w:val="8"/>
                <w:szCs w:val="8"/>
                <w:color w:val="auto"/>
              </w:rPr>
            </w:pPr>
          </w:p>
        </w:tc>
        <w:tc>
          <w:tcPr>
            <w:tcW w:w="10680" w:type="dxa"/>
            <w:vAlign w:val="bottom"/>
            <w:gridSpan w:val="4"/>
          </w:tcPr>
          <w:p>
            <w:pPr>
              <w:ind w:left="20"/>
              <w:spacing w:after="0" w:line="93" w:lineRule="exact"/>
              <w:rPr>
                <w:sz w:val="20"/>
                <w:szCs w:val="20"/>
                <w:color w:val="auto"/>
              </w:rPr>
            </w:pPr>
            <w:r>
              <w:rPr>
                <w:rFonts w:ascii="Arial" w:cs="Arial" w:eastAsia="Arial" w:hAnsi="Arial"/>
                <w:sz w:val="10"/>
                <w:szCs w:val="10"/>
                <w:color w:val="008000"/>
              </w:rPr>
              <w:t>The securities are directly held by The Column Group, LP ("TCG LP").The Column Group GP, LP ("TCG GP") is the general partner of TCG LP and may be deemed to have voting and investment</w:t>
            </w:r>
          </w:p>
        </w:tc>
        <w:tc>
          <w:tcPr>
            <w:tcW w:w="0" w:type="dxa"/>
            <w:vAlign w:val="bottom"/>
          </w:tcPr>
          <w:p>
            <w:pPr>
              <w:spacing w:after="0"/>
              <w:rPr>
                <w:sz w:val="1"/>
                <w:szCs w:val="1"/>
                <w:color w:val="auto"/>
              </w:rPr>
            </w:pPr>
          </w:p>
        </w:tc>
      </w:tr>
      <w:tr>
        <w:trPr>
          <w:trHeight w:val="40"/>
        </w:trPr>
        <w:tc>
          <w:tcPr>
            <w:tcW w:w="1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620" w:type="dxa"/>
            <w:vAlign w:val="bottom"/>
          </w:tcPr>
          <w:p>
            <w:pPr>
              <w:ind w:left="880"/>
              <w:spacing w:after="0" w:line="40" w:lineRule="exact"/>
              <w:rPr>
                <w:sz w:val="20"/>
                <w:szCs w:val="20"/>
                <w:color w:val="auto"/>
              </w:rPr>
            </w:pPr>
            <w:r>
              <w:rPr>
                <w:rFonts w:ascii="Arial" w:cs="Arial" w:eastAsia="Arial" w:hAnsi="Arial"/>
                <w:sz w:val="4"/>
                <w:szCs w:val="4"/>
                <w:b w:val="1"/>
                <w:bCs w:val="1"/>
                <w:color w:val="auto"/>
              </w:rPr>
              <w:t>Date</w:t>
            </w:r>
          </w:p>
        </w:tc>
        <w:tc>
          <w:tcPr>
            <w:tcW w:w="740" w:type="dxa"/>
            <w:vAlign w:val="bottom"/>
          </w:tcPr>
          <w:p>
            <w:pPr>
              <w:ind w:left="80"/>
              <w:spacing w:after="0" w:line="40" w:lineRule="exact"/>
              <w:rPr>
                <w:sz w:val="20"/>
                <w:szCs w:val="20"/>
                <w:color w:val="auto"/>
              </w:rPr>
            </w:pPr>
            <w:r>
              <w:rPr>
                <w:rFonts w:ascii="Arial" w:cs="Arial" w:eastAsia="Arial" w:hAnsi="Arial"/>
                <w:sz w:val="4"/>
                <w:szCs w:val="4"/>
                <w:b w:val="1"/>
                <w:bCs w:val="1"/>
                <w:color w:val="auto"/>
              </w:rPr>
              <w:t>Expiration</w:t>
            </w:r>
          </w:p>
        </w:tc>
        <w:tc>
          <w:tcPr>
            <w:tcW w:w="396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of</w:t>
            </w:r>
          </w:p>
        </w:tc>
        <w:tc>
          <w:tcPr>
            <w:tcW w:w="0" w:type="dxa"/>
            <w:vAlign w:val="bottom"/>
          </w:tcPr>
          <w:p>
            <w:pPr>
              <w:spacing w:after="0" w:line="20" w:lineRule="exact"/>
              <w:rPr>
                <w:sz w:val="1"/>
                <w:szCs w:val="1"/>
                <w:color w:val="auto"/>
              </w:rPr>
            </w:pPr>
          </w:p>
        </w:tc>
      </w:tr>
      <w:tr>
        <w:trPr>
          <w:trHeight w:val="107"/>
        </w:trPr>
        <w:tc>
          <w:tcPr>
            <w:tcW w:w="10800" w:type="dxa"/>
            <w:vAlign w:val="bottom"/>
            <w:gridSpan w:val="5"/>
          </w:tcPr>
          <w:p>
            <w:pPr>
              <w:spacing w:after="0" w:line="107" w:lineRule="exact"/>
              <w:rPr>
                <w:sz w:val="20"/>
                <w:szCs w:val="20"/>
                <w:color w:val="auto"/>
              </w:rPr>
            </w:pPr>
            <w:r>
              <w:rPr>
                <w:rFonts w:ascii="Arial" w:cs="Arial" w:eastAsia="Arial" w:hAnsi="Arial"/>
                <w:sz w:val="12"/>
                <w:szCs w:val="12"/>
                <w:color w:val="008000"/>
                <w:w w:val="99"/>
              </w:rPr>
              <w:t>power with respect to these securities. The managing partners of TCG GP are the Reporting Person, a member of the issuer's board of directors and Peter Svennilson (the "TCG Managing Partners"). The</w:t>
            </w: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4360" w:type="dxa"/>
            <w:vAlign w:val="bottom"/>
          </w:tcPr>
          <w:p>
            <w:pPr>
              <w:ind w:left="3680"/>
              <w:spacing w:after="0"/>
              <w:rPr>
                <w:sz w:val="20"/>
                <w:szCs w:val="20"/>
                <w:color w:val="auto"/>
              </w:rPr>
            </w:pPr>
            <w:r>
              <w:rPr>
                <w:rFonts w:ascii="Arial" w:cs="Arial" w:eastAsia="Arial" w:hAnsi="Arial"/>
                <w:sz w:val="2"/>
                <w:szCs w:val="2"/>
                <w:b w:val="1"/>
                <w:bCs w:val="1"/>
                <w:color w:val="auto"/>
              </w:rPr>
              <w:t>Code  V</w:t>
            </w:r>
          </w:p>
        </w:tc>
        <w:tc>
          <w:tcPr>
            <w:tcW w:w="1620" w:type="dxa"/>
            <w:vAlign w:val="bottom"/>
          </w:tcPr>
          <w:p>
            <w:pPr>
              <w:ind w:left="160"/>
              <w:spacing w:after="0"/>
              <w:rPr>
                <w:sz w:val="20"/>
                <w:szCs w:val="20"/>
                <w:color w:val="auto"/>
              </w:rPr>
            </w:pPr>
            <w:r>
              <w:rPr>
                <w:rFonts w:ascii="Arial" w:cs="Arial" w:eastAsia="Arial" w:hAnsi="Arial"/>
                <w:sz w:val="2"/>
                <w:szCs w:val="2"/>
                <w:b w:val="1"/>
                <w:bCs w:val="1"/>
                <w:color w:val="auto"/>
              </w:rPr>
              <w:t>(A)   (D)   Exercisable</w:t>
            </w: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Date</w:t>
            </w:r>
          </w:p>
        </w:tc>
        <w:tc>
          <w:tcPr>
            <w:tcW w:w="3960" w:type="dxa"/>
            <w:vAlign w:val="bottom"/>
          </w:tcPr>
          <w:p>
            <w:pPr>
              <w:ind w:left="60"/>
              <w:spacing w:after="0"/>
              <w:rPr>
                <w:sz w:val="20"/>
                <w:szCs w:val="20"/>
                <w:color w:val="auto"/>
              </w:rPr>
            </w:pPr>
            <w:r>
              <w:rPr>
                <w:rFonts w:ascii="Arial" w:cs="Arial" w:eastAsia="Arial" w:hAnsi="Arial"/>
                <w:sz w:val="2"/>
                <w:szCs w:val="2"/>
                <w:b w:val="1"/>
                <w:bCs w:val="1"/>
                <w:color w:val="auto"/>
              </w:rPr>
              <w:t>Title  Shares</w:t>
            </w:r>
          </w:p>
        </w:tc>
        <w:tc>
          <w:tcPr>
            <w:tcW w:w="0" w:type="dxa"/>
            <w:vAlign w:val="bottom"/>
          </w:tcPr>
          <w:p>
            <w:pPr>
              <w:spacing w:after="0" w:line="20" w:lineRule="exact"/>
              <w:rPr>
                <w:sz w:val="1"/>
                <w:szCs w:val="1"/>
                <w:color w:val="auto"/>
              </w:rPr>
            </w:pPr>
          </w:p>
        </w:tc>
      </w:tr>
    </w:tbl>
    <w:p>
      <w:pPr>
        <w:ind w:left="40" w:right="380"/>
        <w:spacing w:after="0" w:line="250" w:lineRule="auto"/>
        <w:rPr>
          <w:sz w:val="20"/>
          <w:szCs w:val="20"/>
          <w:color w:val="auto"/>
        </w:rPr>
      </w:pPr>
      <w:r>
        <w:rPr>
          <w:rFonts w:ascii="Arial" w:cs="Arial" w:eastAsia="Arial" w:hAnsi="Arial"/>
          <w:sz w:val="13"/>
          <w:szCs w:val="13"/>
          <w:color w:val="008000"/>
        </w:rPr>
        <w:t>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5" w:lineRule="exact"/>
        <w:rPr>
          <w:sz w:val="20"/>
          <w:szCs w:val="20"/>
          <w:color w:val="auto"/>
        </w:rPr>
      </w:pPr>
    </w:p>
    <w:p>
      <w:pPr>
        <w:ind w:left="40" w:right="140" w:firstLine="7"/>
        <w:spacing w:after="0" w:line="245"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Reporting Person,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40" w:right="320" w:firstLine="7"/>
        <w:spacing w:after="0" w:line="245"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 LP ("TCG II LP"). TCG II GP is the general partner of TCG II LP and may be deemed to have voting and investment power with respect to</w:t>
      </w:r>
    </w:p>
    <w:p>
      <w:pPr>
        <w:spacing w:after="0" w:line="18" w:lineRule="exact"/>
        <w:rPr>
          <w:rFonts w:ascii="Arial" w:cs="Arial" w:eastAsia="Arial" w:hAnsi="Arial"/>
          <w:sz w:val="12"/>
          <w:szCs w:val="12"/>
          <w:color w:val="008000"/>
        </w:rPr>
      </w:pPr>
    </w:p>
    <w:p>
      <w:pPr>
        <w:ind w:left="40" w:right="240"/>
        <w:spacing w:after="0" w:line="291" w:lineRule="auto"/>
        <w:rPr>
          <w:rFonts w:ascii="Arial" w:cs="Arial" w:eastAsia="Arial" w:hAnsi="Arial"/>
          <w:sz w:val="12"/>
          <w:szCs w:val="12"/>
          <w:color w:val="008000"/>
        </w:rPr>
      </w:pPr>
      <w:r>
        <w:rPr>
          <w:rFonts w:ascii="Arial" w:cs="Arial" w:eastAsia="Arial" w:hAnsi="Arial"/>
          <w:sz w:val="12"/>
          <w:szCs w:val="12"/>
          <w:color w:val="008000"/>
        </w:rPr>
        <w:t>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1" w:lineRule="exact"/>
        <w:rPr>
          <w:rFonts w:ascii="Arial" w:cs="Arial" w:eastAsia="Arial" w:hAnsi="Arial"/>
          <w:sz w:val="12"/>
          <w:szCs w:val="12"/>
          <w:color w:val="008000"/>
        </w:rPr>
      </w:pPr>
    </w:p>
    <w:p>
      <w:pPr>
        <w:jc w:val="both"/>
        <w:ind w:left="40" w:right="160" w:firstLine="7"/>
        <w:spacing w:after="0" w:line="281"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Ponoi Capital, LP ("Ponoi LP"). Ponoi Management, LLC ("Ponoi LLC") is the general partner of Ponoi LP and may be deemed to have voting and investment power with respect to these securities. The managing partners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8" w:lineRule="exact"/>
        <w:rPr>
          <w:rFonts w:ascii="Arial" w:cs="Arial" w:eastAsia="Arial" w:hAnsi="Arial"/>
          <w:sz w:val="12"/>
          <w:szCs w:val="12"/>
          <w:color w:val="008000"/>
        </w:rPr>
      </w:pPr>
    </w:p>
    <w:p>
      <w:pPr>
        <w:ind w:left="40" w:right="340" w:firstLine="7"/>
        <w:spacing w:after="0" w:line="245" w:lineRule="auto"/>
        <w:tabs>
          <w:tab w:leader="none" w:pos="2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partners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40" w:right="340" w:firstLine="7"/>
        <w:spacing w:after="0" w:line="301" w:lineRule="auto"/>
        <w:tabs>
          <w:tab w:leader="none" w:pos="2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240" w:hanging="193"/>
        <w:spacing w:after="0"/>
        <w:tabs>
          <w:tab w:leader="none" w:pos="2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Management LP ("TCGM LP"). The managing partners of TCGM LP are the TCG Managing Partners. The TCG Managing Partners may be</w:t>
      </w:r>
    </w:p>
    <w:p>
      <w:pPr>
        <w:spacing w:after="0" w:line="18" w:lineRule="exact"/>
        <w:rPr>
          <w:rFonts w:ascii="Arial" w:cs="Arial" w:eastAsia="Arial" w:hAnsi="Arial"/>
          <w:sz w:val="12"/>
          <w:szCs w:val="12"/>
          <w:color w:val="008000"/>
        </w:rPr>
      </w:pPr>
    </w:p>
    <w:p>
      <w:pPr>
        <w:ind w:left="40" w:right="22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2"/>
          <w:szCs w:val="12"/>
          <w:color w:val="008000"/>
        </w:rPr>
      </w:pPr>
    </w:p>
    <w:p>
      <w:pPr>
        <w:ind w:left="240" w:hanging="193"/>
        <w:spacing w:after="0"/>
        <w:tabs>
          <w:tab w:leader="none" w:pos="2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the Reporting Person and Alena Z. Goeddel serve as co-trustee.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01/26/2022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2022-01-26T18:11:30Z</dcterms:created>
  <dcterms:modified xsi:type="dcterms:W3CDTF">2022-01-26T18:11:30Z</dcterms:modified>
</cp:coreProperties>
</file>