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6"/>
          <w:highlight w:val="white"/>
        </w:rPr>
      </w:pPr>
      <w:r>
        <w:rPr>
          <w:rFonts w:ascii="Times New Roman;sans-serif" w:hAnsi="Times New Roman;sans-serif"/>
          <w:b/>
          <w:color w:val="000000"/>
          <w:sz w:val="36"/>
          <w:highlight w:val="white"/>
        </w:rPr>
        <w:t>UNITED STATES</w:t>
      </w:r>
    </w:p>
    <w:p>
      <w:pPr>
        <w:pStyle w:val="TextBody"/>
        <w:spacing w:lineRule="auto" w:line="288" w:before="0" w:after="0"/>
        <w:jc w:val="center"/>
        <w:rPr>
          <w:rFonts w:ascii="Times New Roman;sans-serif" w:hAnsi="Times New Roman;sans-serif"/>
          <w:b/>
          <w:color w:val="000000"/>
          <w:sz w:val="36"/>
          <w:highlight w:val="white"/>
        </w:rPr>
      </w:pPr>
      <w:r>
        <w:rPr>
          <w:rFonts w:ascii="Times New Roman;sans-serif" w:hAnsi="Times New Roman;sans-serif"/>
          <w:b/>
          <w:color w:val="000000"/>
          <w:sz w:val="36"/>
          <w:highlight w:val="white"/>
        </w:rPr>
        <w:t>SECURITIES AND EXCHANGE COMMISSION</w:t>
      </w:r>
    </w:p>
    <w:p>
      <w:pPr>
        <w:pStyle w:val="TextBody"/>
        <w:spacing w:lineRule="auto" w:line="288" w:before="0" w:after="0"/>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WASHINGTON, D.C. 20549</w:t>
      </w:r>
    </w:p>
    <w:p>
      <w:pPr>
        <w:pStyle w:val="TextBody"/>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spacing w:lineRule="auto" w:line="288" w:before="120" w:after="283"/>
        <w:jc w:val="center"/>
        <w:rPr>
          <w:rFonts w:ascii="Times New Roman;sans-serif" w:hAnsi="Times New Roman;sans-serif"/>
          <w:b/>
          <w:color w:val="000000"/>
          <w:sz w:val="36"/>
          <w:highlight w:val="white"/>
        </w:rPr>
      </w:pPr>
      <w:r>
        <w:rPr>
          <w:rFonts w:ascii="Times New Roman;sans-serif" w:hAnsi="Times New Roman;sans-serif"/>
          <w:b/>
          <w:color w:val="000000"/>
          <w:sz w:val="36"/>
          <w:highlight w:val="white"/>
        </w:rPr>
        <w:t>FORM 8-K</w:t>
      </w:r>
    </w:p>
    <w:p>
      <w:pPr>
        <w:pStyle w:val="TextBody"/>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spacing w:lineRule="auto" w:line="288" w:before="180" w:after="283"/>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CURRENT REPORT</w:t>
      </w:r>
    </w:p>
    <w:p>
      <w:pPr>
        <w:pStyle w:val="TextBody"/>
        <w:spacing w:lineRule="auto" w:line="288" w:before="120" w:after="283"/>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Date of Report (Date of earliest event reported): May 4, 2023</w:t>
      </w:r>
    </w:p>
    <w:p>
      <w:pPr>
        <w:pStyle w:val="TextBody"/>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spacing w:lineRule="auto" w:line="288" w:before="120" w:after="283"/>
        <w:jc w:val="center"/>
        <w:rPr>
          <w:rFonts w:ascii="Times New Roman;sans-serif" w:hAnsi="Times New Roman;sans-serif"/>
          <w:b/>
          <w:color w:val="000000"/>
          <w:sz w:val="48"/>
          <w:highlight w:val="white"/>
        </w:rPr>
      </w:pPr>
      <w:r>
        <w:rPr>
          <w:rFonts w:ascii="Times New Roman;sans-serif" w:hAnsi="Times New Roman;sans-serif"/>
          <w:b/>
          <w:color w:val="000000"/>
          <w:sz w:val="48"/>
          <w:highlight w:val="white"/>
        </w:rPr>
        <w:t>NGM Biopharmaceuticals, Inc.</w:t>
      </w:r>
    </w:p>
    <w:p>
      <w:pPr>
        <w:pStyle w:val="TextBody"/>
        <w:spacing w:lineRule="auto" w:line="288" w:before="0" w:after="0"/>
        <w:jc w:val="center"/>
        <w:rPr>
          <w:rFonts w:ascii="Times New Roman;sans-serif" w:hAnsi="Times New Roman;sans-serif"/>
          <w:b/>
          <w:color w:val="000000"/>
          <w:sz w:val="14"/>
          <w:highlight w:val="white"/>
        </w:rPr>
      </w:pPr>
      <w:r>
        <w:rPr>
          <w:rFonts w:ascii="Times New Roman;sans-serif" w:hAnsi="Times New Roman;sans-serif"/>
          <w:b/>
          <w:color w:val="000000"/>
          <w:sz w:val="14"/>
          <w:highlight w:val="white"/>
        </w:rPr>
        <w:t>(Exact name of Registrant as Specified in Its Charter)</w:t>
      </w:r>
    </w:p>
    <w:p>
      <w:pPr>
        <w:pStyle w:val="TextBody"/>
        <w:spacing w:lineRule="auto" w:line="360" w:before="120" w:after="283"/>
        <w:jc w:val="center"/>
        <w:rPr>
          <w:rFonts w:ascii="Arial;sans-serif" w:hAnsi="Arial;sans-serif"/>
          <w:b w:val="false"/>
          <w:color w:val="000000"/>
          <w:sz w:val="24"/>
        </w:rPr>
      </w:pPr>
      <w:r>
        <w:rPr>
          <w:rFonts w:ascii="Arial;sans-serif" w:hAnsi="Arial;sans-serif"/>
          <w:b w:val="false"/>
          <w:color w:val="000000"/>
          <w:sz w:val="24"/>
        </w:rPr>
        <w:t>___________________</w:t>
      </w:r>
    </w:p>
    <w:tbl>
      <w:tblPr>
        <w:tblW w:w="5668" w:type="dxa"/>
        <w:jc w:val="left"/>
        <w:tblInd w:w="0" w:type="dxa"/>
        <w:tblCellMar>
          <w:top w:w="28" w:type="dxa"/>
          <w:left w:w="28" w:type="dxa"/>
          <w:bottom w:w="28" w:type="dxa"/>
          <w:right w:w="28" w:type="dxa"/>
        </w:tblCellMar>
      </w:tblPr>
      <w:tblGrid>
        <w:gridCol w:w="776"/>
        <w:gridCol w:w="680"/>
        <w:gridCol w:w="688"/>
        <w:gridCol w:w="678"/>
        <w:gridCol w:w="678"/>
        <w:gridCol w:w="684"/>
        <w:gridCol w:w="433"/>
        <w:gridCol w:w="433"/>
        <w:gridCol w:w="618"/>
      </w:tblGrid>
      <w:tr>
        <w:trPr/>
        <w:tc>
          <w:tcPr>
            <w:tcW w:w="77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001-38853</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26-1679911</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Oyster Point Boulevard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tc>
      </w:tr>
      <w:tr>
        <w:trPr/>
        <w:tc>
          <w:tcPr>
            <w:tcW w:w="566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tc>
      </w:tr>
    </w:tbl>
    <w:p>
      <w:pPr>
        <w:pStyle w:val="TextBody"/>
        <w:spacing w:lineRule="auto" w:line="288" w:before="1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(650) 243-5555</w:t>
      </w:r>
    </w:p>
    <w:p>
      <w:pPr>
        <w:pStyle w:val="TextBody"/>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1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 Applicable</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(Former Name or Former Address, if Changed Since Last Report)</w:t>
      </w:r>
    </w:p>
    <w:p>
      <w:pPr>
        <w:pStyle w:val="TextBody"/>
        <w:spacing w:lineRule="auto" w:line="360" w:before="12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spacing w:lineRule="auto" w:line="288" w:before="120" w:after="283"/>
        <w:rPr/>
      </w:pPr>
      <w:r>
        <w:rPr>
          <w:rFonts w:ascii="Times New Roman;sans-serif" w:hAnsi="Times New Roman;sans-serif"/>
          <w:b w:val="false"/>
          <w:color w:val="000000"/>
          <w:sz w:val="20"/>
          <w:highlight w:val="white"/>
        </w:rPr>
        <w:t>Check the appropriate box below if the Form 8-K filing is intended to simultaneously satisfy the filing obligation of the registrant under any of the following</w:t>
      </w:r>
      <w:r>
        <w:rPr>
          <w:color w:val="000000"/>
          <w:highlight w:val="white"/>
        </w:rPr>
        <w:t> </w:t>
      </w:r>
      <w:r>
        <w:rPr>
          <w:rFonts w:ascii="Times New Roman;sans-serif" w:hAnsi="Times New Roman;sans-serif"/>
          <w:b w:val="false"/>
          <w:color w:val="000000"/>
          <w:sz w:val="20"/>
          <w:highlight w:val="white"/>
        </w:rPr>
        <w:t>provisions (see General Instructions A.2. below):</w:t>
      </w:r>
      <w:r>
        <w:rPr>
          <w:color w:val="000000"/>
          <w:highlight w:val="white"/>
        </w:rPr>
        <w:t> </w:t>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120" w:after="283"/>
        <w:jc w:val="center"/>
        <w:rPr/>
      </w:pPr>
      <w:r>
        <w:rPr>
          <w:rFonts w:ascii="Times New Roman;sans-serif" w:hAnsi="Times New Roman;sans-serif"/>
          <w:b w:val="false"/>
          <w:color w:val="000000"/>
          <w:sz w:val="20"/>
          <w:highlight w:val="white"/>
        </w:rPr>
        <w:t>Securities registered pursuant to Section 12(b) of the Act:</w:t>
      </w:r>
      <w:r>
        <w:rPr>
          <w:color w:val="000000"/>
          <w:highlight w:val="white"/>
        </w:rPr>
        <w:t> </w:t>
      </w:r>
    </w:p>
    <w:tbl>
      <w:tblPr>
        <w:tblW w:w="8498" w:type="dxa"/>
        <w:jc w:val="left"/>
        <w:tblInd w:w="0" w:type="dxa"/>
        <w:tblCellMar>
          <w:top w:w="28" w:type="dxa"/>
          <w:left w:w="28" w:type="dxa"/>
          <w:bottom w:w="28" w:type="dxa"/>
          <w:right w:w="28" w:type="dxa"/>
        </w:tblCellMar>
      </w:tblPr>
      <w:tblGrid>
        <w:gridCol w:w="1299"/>
        <w:gridCol w:w="1147"/>
        <w:gridCol w:w="1154"/>
        <w:gridCol w:w="109"/>
        <w:gridCol w:w="109"/>
        <w:gridCol w:w="109"/>
        <w:gridCol w:w="274"/>
        <w:gridCol w:w="274"/>
        <w:gridCol w:w="276"/>
        <w:gridCol w:w="109"/>
        <w:gridCol w:w="109"/>
        <w:gridCol w:w="109"/>
        <w:gridCol w:w="1000"/>
        <w:gridCol w:w="1000"/>
        <w:gridCol w:w="1420"/>
      </w:tblGrid>
      <w:tr>
        <w:trPr/>
        <w:tc>
          <w:tcPr>
            <w:tcW w:w="1299"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20" w:after="283"/>
        <w:rPr/>
      </w:pPr>
      <w:r>
        <w:rPr>
          <w:rFonts w:ascii="Times New Roman;sans-serif" w:hAnsi="Times New Roman;sans-serif"/>
          <w:b w:val="false"/>
          <w:color w:val="000000"/>
          <w:sz w:val="20"/>
          <w:highlight w:val="white"/>
        </w:rPr>
        <w:t>Indicate by check mark whether the registrant is an emerging growth company as defined in Rule 405 of the Securities Act of 1933 (§230.405 of this chapter)</w:t>
      </w:r>
      <w:r>
        <w:rPr>
          <w:color w:val="000000"/>
          <w:highlight w:val="white"/>
        </w:rPr>
        <w:t> </w:t>
      </w:r>
      <w:r>
        <w:rPr>
          <w:rFonts w:ascii="Times New Roman;sans-serif" w:hAnsi="Times New Roman;sans-serif"/>
          <w:b w:val="false"/>
          <w:color w:val="000000"/>
          <w:sz w:val="20"/>
          <w:highlight w:val="white"/>
        </w:rPr>
        <w:t xml:space="preserve">or Rule 12b-2 of the Securities Exchange Act of 1934 (§240.12b-2 of this chapter). Emerging growth company </w:t>
      </w:r>
      <w:r>
        <w:rPr>
          <w:color w:val="000000"/>
        </w:rPr>
        <w:t>☐</w:t>
      </w:r>
    </w:p>
    <w:p>
      <w:pPr>
        <w:pStyle w:val="TextBody"/>
        <w:spacing w:lineRule="auto" w:line="288" w:before="120" w:after="283"/>
        <w:rPr/>
      </w:pPr>
      <w:r>
        <w:rPr>
          <w:rFonts w:ascii="Times New Roman;sans-serif" w:hAnsi="Times New Roman;sans-serif"/>
          <w:b w:val="false"/>
          <w:color w:val="000000"/>
          <w:sz w:val="20"/>
          <w:highlight w:val="white"/>
        </w:rPr>
        <w:t>If an emerging growth company, indicate by check mark if the registrant has elected not to use the extended transition period for complying with any new or</w:t>
      </w:r>
      <w:r>
        <w:rPr>
          <w:color w:val="000000"/>
          <w:highlight w:val="white"/>
        </w:rPr>
        <w:t> </w:t>
      </w:r>
      <w:r>
        <w:rPr>
          <w:rFonts w:ascii="Times New Roman;sans-serif" w:hAnsi="Times New Roman;sans-serif"/>
          <w:b w:val="false"/>
          <w:color w:val="000000"/>
          <w:sz w:val="20"/>
          <w:highlight w:val="white"/>
        </w:rPr>
        <w:t xml:space="preserve">revised financial accounting standards provided pursuant to Section 13(a) of the Exchange Act. </w:t>
      </w: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May 4, 2023, NGM Biopharmaceuticals, Inc. reported its financial results for the first quarter ended March 31, 2023 and provided business highlights, including topline ALPINE 4 data. A copy of the press release titled “NGM Bio Reports First Quarter 2023 Financial Results and Provides Business Highlights, Including Topline ALPINE 4 Data,” is furnished pursuant to Item 2.02 as Exhibit 99.1 hereto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tbl>
      <w:tblPr>
        <w:tblW w:w="10205" w:type="dxa"/>
        <w:jc w:val="left"/>
        <w:tblInd w:w="0" w:type="dxa"/>
        <w:tblCellMar>
          <w:top w:w="28" w:type="dxa"/>
          <w:left w:w="28" w:type="dxa"/>
          <w:bottom w:w="28" w:type="dxa"/>
          <w:right w:w="28" w:type="dxa"/>
        </w:tblCellMar>
      </w:tblPr>
      <w:tblGrid>
        <w:gridCol w:w="391"/>
        <w:gridCol w:w="344"/>
        <w:gridCol w:w="346"/>
        <w:gridCol w:w="109"/>
        <w:gridCol w:w="109"/>
        <w:gridCol w:w="109"/>
        <w:gridCol w:w="2570"/>
        <w:gridCol w:w="2570"/>
        <w:gridCol w:w="3657"/>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3657"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ngm-20230504xexx991.htm">
              <w:r>
                <w:rPr>
                  <w:rStyle w:val="InternetLink"/>
                  <w:rFonts w:ascii="Times New Roman;sans-serif" w:hAnsi="Times New Roman;sans-serif"/>
                  <w:b w:val="false"/>
                  <w:color w:val="0000FF"/>
                  <w:sz w:val="20"/>
                  <w:u w:val="single"/>
                </w:rPr>
                <w:t>Press release, dated May 4, 2023, titled “NGM Bio Reports First Quarter 2023 Financial Results and Provides Business Highlights, Including Topline ALPINE 4 Data."</w:t>
              </w:r>
            </w:hyperlink>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as amended, the Registrant has duly caused this report to be signed on its behalf by the undersigned hereunto duly authorized. </w:t>
      </w:r>
    </w:p>
    <w:tbl>
      <w:tblPr>
        <w:tblW w:w="6305" w:type="dxa"/>
        <w:jc w:val="left"/>
        <w:tblInd w:w="0" w:type="dxa"/>
        <w:tblCellMar>
          <w:top w:w="28" w:type="dxa"/>
          <w:left w:w="28" w:type="dxa"/>
          <w:bottom w:w="28" w:type="dxa"/>
          <w:right w:w="28" w:type="dxa"/>
        </w:tblCellMar>
      </w:tblPr>
      <w:tblGrid>
        <w:gridCol w:w="629"/>
        <w:gridCol w:w="553"/>
        <w:gridCol w:w="558"/>
        <w:gridCol w:w="432"/>
        <w:gridCol w:w="432"/>
        <w:gridCol w:w="432"/>
        <w:gridCol w:w="956"/>
        <w:gridCol w:w="956"/>
        <w:gridCol w:w="1357"/>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6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NGM Biopharmaceuticals, Inc.</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4, 2023</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Siobhan Nolan Mangini</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Siobhan Nolan Mangini</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spacing w:before="240" w:after="120"/>
        <w:jc w:val="center"/>
        <w:rPr/>
      </w:pPr>
      <w:r>
        <w:rPr/>
        <w:drawing>
          <wp:inline distT="0" distB="6350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spacing w:before="240" w:after="120"/>
        <w:jc w:val="center"/>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NGM Bio Reports First Quarter 2023 Financial Results and Provides Business Highlights, Including Topline ALPINE 4 Data</w:t>
      </w:r>
    </w:p>
    <w:p>
      <w:pPr>
        <w:pStyle w:val="TextBody"/>
        <w:spacing w:before="0" w:after="0"/>
        <w:jc w:val="center"/>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 xml:space="preserve">Phase 2b ALPINE 4 trial met its primary endpoint, demonstrating a statistically significant improvement in Enhanced Liver Fibrosis (ELF) score at 48 weeks versus baseline in patients with compensated cirrhosis (F4) due to NASH treated with 3 mg of aldafermin, </w:t>
      </w:r>
      <w:r>
        <w:rPr>
          <w:rFonts w:ascii="Arial;sans-serif" w:hAnsi="Arial;sans-serif"/>
          <w:b w:val="false"/>
          <w:color w:val="001610"/>
          <w:sz w:val="20"/>
        </w:rPr>
        <w:t>an engineered FGF19 analog product candidate,</w:t>
      </w:r>
      <w:r>
        <w:rPr>
          <w:color w:val="000000"/>
        </w:rPr>
        <w:t xml:space="preserve"> </w:t>
      </w:r>
      <w:r>
        <w:rPr>
          <w:rFonts w:ascii="Arial;sans-serif" w:hAnsi="Arial;sans-serif"/>
          <w:b w:val="false"/>
          <w:color w:val="000000"/>
          <w:sz w:val="20"/>
        </w:rPr>
        <w:t>compared to patients treated with placebo</w:t>
      </w:r>
    </w:p>
    <w:p>
      <w:pPr>
        <w:pStyle w:val="TextBody"/>
        <w:spacing w:lineRule="auto" w:line="288" w:before="120" w:after="120"/>
        <w:ind w:left="0" w:right="0" w:hanging="360"/>
        <w:rPr/>
      </w:pPr>
      <w:r>
        <w:rPr>
          <w:color w:val="000000"/>
        </w:rPr>
        <w:t>•</w:t>
      </w:r>
      <w:r>
        <w:rPr>
          <w:rFonts w:ascii="Arial;sans-serif" w:hAnsi="Arial;sans-serif"/>
          <w:b w:val="false"/>
          <w:color w:val="000000"/>
          <w:sz w:val="20"/>
        </w:rPr>
        <w:t>Initiated the first two Phase 2b expansion cohorts in the Phase 1/2 trial evaluating NGM707, an ILT2/ILT4 antagonist antibody product candidate, in combination with KEYTRUDA® (pembrolizumab)</w:t>
      </w:r>
    </w:p>
    <w:p>
      <w:pPr>
        <w:pStyle w:val="TextBody"/>
        <w:spacing w:lineRule="auto" w:line="288" w:before="120" w:after="120"/>
        <w:ind w:left="0" w:right="0" w:hanging="360"/>
        <w:rPr/>
      </w:pPr>
      <w:r>
        <w:rPr>
          <w:color w:val="000000"/>
        </w:rPr>
        <w:t>•</w:t>
      </w:r>
      <w:r>
        <w:rPr>
          <w:rFonts w:ascii="Arial;sans-serif" w:hAnsi="Arial;sans-serif"/>
          <w:b w:val="false"/>
          <w:color w:val="000000"/>
          <w:sz w:val="20"/>
        </w:rPr>
        <w:t>Announced the appointment of Dan Kaplan, Ph.D. to Chief Scientific Officer</w:t>
      </w:r>
    </w:p>
    <w:p>
      <w:pPr>
        <w:pStyle w:val="TextBody"/>
        <w:spacing w:lineRule="auto" w:line="288" w:before="120" w:after="120"/>
        <w:ind w:left="0" w:right="0" w:hanging="360"/>
        <w:rPr/>
      </w:pPr>
      <w:r>
        <w:rPr>
          <w:color w:val="000000"/>
        </w:rPr>
        <w:t>•</w:t>
      </w:r>
      <w:r>
        <w:rPr>
          <w:rFonts w:ascii="Arial;sans-serif" w:hAnsi="Arial;sans-serif"/>
          <w:b w:val="false"/>
          <w:color w:val="000000"/>
          <w:sz w:val="20"/>
        </w:rPr>
        <w:t>Extended expected cash runway into the second quarter of 2025 following a restructuring of NGM Bio’s workforce that reduced headcount by approximately 33%</w:t>
      </w:r>
    </w:p>
    <w:p>
      <w:pPr>
        <w:pStyle w:val="TextBody"/>
        <w:spacing w:lineRule="auto" w:line="288" w:before="240" w:after="120"/>
        <w:rPr/>
      </w:pPr>
      <w:r>
        <w:rPr>
          <w:rFonts w:ascii="Arial;sans-serif" w:hAnsi="Arial;sans-serif"/>
          <w:b/>
          <w:color w:val="000000"/>
          <w:sz w:val="20"/>
        </w:rPr>
        <w:t>South San Francisco, CA, </w:t>
      </w:r>
      <w:r>
        <w:rPr>
          <w:rFonts w:ascii="Arial;sans-serif" w:hAnsi="Arial;sans-serif"/>
          <w:b w:val="false"/>
          <w:color w:val="000000"/>
          <w:sz w:val="20"/>
        </w:rPr>
        <w:t>May 4, 2023 – NGM Biopharmaceuticals, Inc. (NGM Bio) (Nasdaq: NGM), a clinical-stage biotechnology company focused on discovering and developing transformative therapeutics for patients, today reported financial results for the quarterly period ended March 31, 2023 and provided business highlights.</w:t>
      </w:r>
      <w:r>
        <w:rPr>
          <w:color w:val="000000"/>
        </w:rPr>
        <w:t> </w:t>
      </w:r>
    </w:p>
    <w:p>
      <w:pPr>
        <w:pStyle w:val="TextBody"/>
        <w:spacing w:lineRule="auto" w:line="268" w:before="0" w:after="0"/>
        <w:rPr>
          <w:color w:val="000000"/>
        </w:rPr>
      </w:pPr>
      <w:r>
        <w:rPr>
          <w:color w:val="000000"/>
        </w:rPr>
        <w:t>“</w:t>
      </w:r>
      <w:r>
        <w:rPr>
          <w:rFonts w:ascii="Arial;sans-serif" w:hAnsi="Arial;sans-serif"/>
          <w:b w:val="false"/>
          <w:color w:val="000000"/>
          <w:sz w:val="20"/>
        </w:rPr>
        <w:t>We are pleased with the results of the ALPINE 4 trial supporting the therapeutic potential of aldafermin in patients with advanced NASH. We continue to make progress on our corporate strategy with the initiation of Phase 2 expansion cohorts in our proof-of-concept trial of NGM707 and the extension of our expected cash runway. With these activities, we are optimizing our resource allocation strategy towards advancing our solid tumor oncology portfolio in the clinic, while our discovery engine continues to generate new product candidates,” said David J. Woodhouse, Ph.D., Chief Executive Officer at NGM Bio. “I would like to extend my sincere gratitude and thanks to NGM Bio’s departing staff impacted by our recent restructuring for their significant contributions and unwavering commitment to discovering and developing novel, life-changing medicines for people whose health and lives are disrupted by disease.”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Key First Quarter and Recent Highlights</w:t>
      </w:r>
    </w:p>
    <w:p>
      <w:pPr>
        <w:pStyle w:val="TextBody"/>
        <w:spacing w:lineRule="auto" w:line="288" w:before="240" w:after="120"/>
        <w:rPr>
          <w:rFonts w:ascii="Arial;sans-serif" w:hAnsi="Arial;sans-serif"/>
          <w:b/>
          <w:i/>
          <w:color w:val="000000"/>
          <w:sz w:val="20"/>
        </w:rPr>
      </w:pPr>
      <w:r>
        <w:rPr>
          <w:rFonts w:ascii="Arial;sans-serif" w:hAnsi="Arial;sans-serif"/>
          <w:b/>
          <w:i/>
          <w:color w:val="000000"/>
          <w:sz w:val="20"/>
        </w:rPr>
        <w:t>Corporate Updates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Announced the appointment of Dan Kaplan, Ph.D. to Chief Scientific Officer. Dr Kaplan has been a member of NGM Bio’s Research and Development organization for fourteen years, most recently as Vice President, Immuno-oncology. Jin-Long Chen, Ph.D., who founded NGM Bio and served as Chief Scientific Officer and as a member of NGM Bio’s Board of Directors, resigned from NGM Bio effective April 4, 2023.</w:t>
      </w:r>
    </w:p>
    <w:p>
      <w:pPr>
        <w:pStyle w:val="TextBody"/>
        <w:spacing w:lineRule="auto" w:line="288" w:before="120" w:after="120"/>
        <w:ind w:left="0" w:right="0" w:hanging="360"/>
        <w:rPr/>
      </w:pPr>
      <w:r>
        <w:rPr>
          <w:color w:val="000000"/>
        </w:rPr>
        <w:t>•</w:t>
      </w:r>
      <w:r>
        <w:rPr>
          <w:rFonts w:ascii="Arial;sans-serif" w:hAnsi="Arial;sans-serif"/>
          <w:b w:val="false"/>
          <w:color w:val="000000"/>
          <w:sz w:val="20"/>
        </w:rPr>
        <w:t>Announced a restructuring resulting in a reduction of NGM Bio’s workforce by 75 people, or approximately 33% of the pre-restructuring headcount.</w:t>
      </w:r>
      <w:r>
        <w:rPr>
          <w:color w:val="000000"/>
        </w:rPr>
        <w:t xml:space="preserve"> </w:t>
      </w:r>
      <w:r>
        <w:rPr>
          <w:rFonts w:ascii="Arial;sans-serif" w:hAnsi="Arial;sans-serif"/>
          <w:b w:val="false"/>
          <w:color w:val="000000"/>
          <w:sz w:val="20"/>
        </w:rPr>
        <w:t>NGM Bio expects to incur approximately $5.0 million in charges in connection with the restructuring, the majority to be incurred in the second quarter. The execution of the restructuring, including cash payments, will be substantially complete by the end of the second quarter</w:t>
      </w:r>
      <w:r>
        <w:rPr>
          <w:rFonts w:ascii="Arial;sans-serif" w:hAnsi="Arial;sans-serif"/>
          <w:b w:val="false"/>
          <w:color w:val="000000"/>
          <w:sz w:val="20"/>
          <w:highlight w:val="white"/>
        </w:rPr>
        <w:t>.</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Solid Tumor Oncology</w:t>
      </w:r>
    </w:p>
    <w:p>
      <w:pPr>
        <w:pStyle w:val="TextBody"/>
        <w:spacing w:lineRule="auto" w:line="288" w:before="120" w:after="120"/>
        <w:ind w:left="0" w:right="0" w:hanging="360"/>
        <w:rPr/>
      </w:pPr>
      <w:r>
        <w:rPr>
          <w:color w:val="000000"/>
        </w:rPr>
        <w:t>•</w:t>
      </w:r>
      <w:r>
        <w:rPr>
          <w:rFonts w:ascii="Arial;sans-serif" w:hAnsi="Arial;sans-serif"/>
          <w:b w:val="false"/>
          <w:color w:val="000000"/>
          <w:sz w:val="20"/>
        </w:rPr>
        <w:t>Initiated the first two Phase 2b cohorts in the Phase 1/2 trial evaluating NGM707 in combination with pembrolizumab.</w:t>
      </w:r>
    </w:p>
    <w:p>
      <w:pPr>
        <w:pStyle w:val="TextBody"/>
        <w:spacing w:lineRule="auto" w:line="288" w:before="120" w:after="120"/>
        <w:ind w:left="0" w:right="0" w:hanging="360"/>
        <w:rPr/>
      </w:pPr>
      <w:r>
        <w:rPr>
          <w:color w:val="000000"/>
        </w:rPr>
        <w:t>•</w:t>
      </w:r>
      <w:r>
        <w:rPr>
          <w:rFonts w:ascii="Arial;sans-serif" w:hAnsi="Arial;sans-serif"/>
          <w:b w:val="false"/>
          <w:color w:val="000000"/>
          <w:sz w:val="20"/>
        </w:rPr>
        <w:t>Continued enrollment in the Phase 1/1b trial evaluating NGM438, a LAIR1 antagonist antibody product candidate, as a monotherapy and in combination with pembrolizumab for the treatment of patients with advanced or metastatic solid tumors.</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120"/>
        <w:ind w:left="0" w:right="0" w:hanging="360"/>
        <w:rPr/>
      </w:pPr>
      <w:r>
        <w:rPr>
          <w:color w:val="000000"/>
        </w:rPr>
        <w:t>•</w:t>
      </w:r>
      <w:r>
        <w:rPr>
          <w:rFonts w:ascii="Arial;sans-serif" w:hAnsi="Arial;sans-serif"/>
          <w:b w:val="false"/>
          <w:color w:val="000000"/>
          <w:sz w:val="20"/>
        </w:rPr>
        <w:t>Continued enrollment in the Phase 1/1b trial evaluating NGM831, an ILT3 antagonist antibody product candidate, as a monotherapy and in combination with pembrolizumab for the treatment of patients with advanced or metastatic solid tumors.</w:t>
      </w:r>
    </w:p>
    <w:p>
      <w:pPr>
        <w:pStyle w:val="TextBody"/>
        <w:spacing w:lineRule="auto" w:line="288" w:before="240" w:after="120"/>
        <w:rPr/>
      </w:pPr>
      <w:r>
        <w:rPr>
          <w:rFonts w:ascii="Arial;sans-serif" w:hAnsi="Arial;sans-serif"/>
          <w:b/>
          <w:i/>
          <w:color w:val="000000"/>
          <w:sz w:val="20"/>
        </w:rPr>
        <w:t>Phase 2b ALPINE 4 Trial Topline Results</w:t>
      </w:r>
      <w:r>
        <w:rPr>
          <w:color w:val="000000"/>
        </w:rPr>
        <w:t xml:space="preserve"> </w:t>
      </w:r>
    </w:p>
    <w:p>
      <w:pPr>
        <w:pStyle w:val="TextBody"/>
        <w:spacing w:lineRule="auto" w:line="288" w:before="120" w:after="120"/>
        <w:ind w:left="0" w:right="0" w:hanging="360"/>
        <w:rPr/>
      </w:pPr>
      <w:r>
        <w:rPr>
          <w:color w:val="000000"/>
        </w:rPr>
        <w:t>•</w:t>
      </w:r>
      <w:r>
        <w:rPr>
          <w:rFonts w:ascii="Arial;sans-serif" w:hAnsi="Arial;sans-serif"/>
          <w:b w:val="false"/>
          <w:color w:val="000000"/>
          <w:sz w:val="20"/>
        </w:rPr>
        <w:t>Today NGM Bio is reporting topline data from the Phase 2b ALPINE 4 trial of aldafermin in 160 patients with compensated cirrhosis due to NASH (liver fibrosis stage 4, or, F4). The 48-week trial assessed the efficacy, safety and tolerability of 1 mg and 3 mg doses of aldafermin compared to placebo</w:t>
      </w:r>
      <w:r>
        <w:rPr>
          <w:rFonts w:ascii="Arial;sans-serif" w:hAnsi="Arial;sans-serif"/>
          <w:b w:val="false"/>
          <w:color w:val="000000"/>
          <w:sz w:val="13"/>
        </w:rPr>
        <w:t>1</w:t>
      </w:r>
      <w:r>
        <w:rPr>
          <w:rFonts w:ascii="Arial;sans-serif" w:hAnsi="Arial;sans-serif"/>
          <w:b w:val="false"/>
          <w:color w:val="000000"/>
          <w:sz w:val="20"/>
        </w:rPr>
        <w:t>.</w:t>
      </w:r>
    </w:p>
    <w:p>
      <w:pPr>
        <w:pStyle w:val="TextBody"/>
        <w:spacing w:lineRule="auto" w:line="268" w:before="0" w:after="0"/>
        <w:ind w:left="0" w:right="0" w:hanging="360"/>
        <w:rPr/>
      </w:pPr>
      <w:r>
        <w:rPr>
          <w:color w:val="000000"/>
        </w:rPr>
        <w:t>•</w:t>
      </w:r>
      <w:r>
        <w:rPr>
          <w:rFonts w:ascii="Arial;sans-serif" w:hAnsi="Arial;sans-serif"/>
          <w:b w:val="false"/>
          <w:color w:val="000000"/>
          <w:sz w:val="20"/>
        </w:rPr>
        <w:t>The study met its primary endpoint with a statistically significant reduction in ELF score from baseline to week 48 in patients treated with 3 mg of aldafermin versus patients receiving placebo. Patients receiving 3 mg of aldafermin had a 0.5 point greater reduction in ELF at week 48 compared to patients receiving placebo (p-value = 0.0003). The ELF score is a reproducible, quantitative non-invasive liver prognostic test that evaluates liver fibrosis and correlates to liver-related outcomes.</w:t>
      </w:r>
    </w:p>
    <w:p>
      <w:pPr>
        <w:pStyle w:val="TextBody"/>
        <w:spacing w:lineRule="auto" w:line="288" w:before="120" w:after="120"/>
        <w:ind w:left="0" w:right="0" w:hanging="360"/>
        <w:rPr/>
      </w:pPr>
      <w:r>
        <w:rPr>
          <w:color w:val="000000"/>
        </w:rPr>
        <w:t>•</w:t>
      </w:r>
      <w:r>
        <w:rPr>
          <w:rFonts w:ascii="Arial;sans-serif" w:hAnsi="Arial;sans-serif"/>
          <w:b w:val="false"/>
          <w:color w:val="000000"/>
          <w:sz w:val="20"/>
        </w:rPr>
        <w:t>On the secondary endpoint of fibrosis improvement of ≥1 stage (for which the trial was not statistically powered) 21% (p-value=0.39) and 23% (p-value=0.36) of patients in the 1 mg and 3 mg cohorts, respectively, achieved fibrosis improvement versus 15% in the placebo cohort.</w:t>
      </w:r>
    </w:p>
    <w:p>
      <w:pPr>
        <w:pStyle w:val="TextBody"/>
        <w:spacing w:lineRule="auto" w:line="288" w:before="120" w:after="120"/>
        <w:ind w:left="0" w:right="0" w:hanging="360"/>
        <w:rPr/>
      </w:pPr>
      <w:r>
        <w:rPr>
          <w:color w:val="000000"/>
        </w:rPr>
        <w:t>•</w:t>
      </w:r>
      <w:r>
        <w:rPr>
          <w:rFonts w:ascii="Arial;sans-serif" w:hAnsi="Arial;sans-serif"/>
          <w:b w:val="false"/>
          <w:color w:val="000000"/>
          <w:sz w:val="20"/>
        </w:rPr>
        <w:t>Aldafermin was generally well tolerated with no treatment-related serious adverse events and a safety and tolerability profile generally consistent with prior trials of aldafermin, including higher levels of gastrointestinal events in patients treated with aldafermin as compared to patients treated with placebo.</w:t>
      </w:r>
    </w:p>
    <w:p>
      <w:pPr>
        <w:pStyle w:val="TextBody"/>
        <w:spacing w:lineRule="auto" w:line="288" w:before="120" w:after="120"/>
        <w:rPr>
          <w:color w:val="000000"/>
        </w:rPr>
      </w:pPr>
      <w:r>
        <w:rPr>
          <w:color w:val="000000"/>
        </w:rPr>
        <w:t>“</w:t>
      </w:r>
      <w:r>
        <w:rPr>
          <w:rFonts w:ascii="Arial;sans-serif" w:hAnsi="Arial;sans-serif"/>
          <w:b w:val="false"/>
          <w:color w:val="000000"/>
          <w:sz w:val="20"/>
        </w:rPr>
        <w:t>On behalf of the entire NGM Bio team, I’d like to thank the ALPINE 4 investigators and clinical trial staff, our employees who contributed to this effort and, most importantly, the patients who participated in the study,” said Hsiao D. Lieu, M.D., Chief Medical Officer at NGM Bio. “We are encouraged that we continue to see evidence of the potential therapeutic activity of aldafermin, including on the ELF biomarker that has been correlated to patient outcomes, and we look forward to having conversations with potential partners to determine further development of the program.”</w:t>
      </w:r>
    </w:p>
    <w:p>
      <w:pPr>
        <w:pStyle w:val="TextBody"/>
        <w:spacing w:lineRule="auto" w:line="288" w:before="240" w:after="120"/>
        <w:rPr>
          <w:rFonts w:ascii="Arial;sans-serif" w:hAnsi="Arial;sans-serif"/>
          <w:b/>
          <w:color w:val="000000"/>
          <w:sz w:val="20"/>
        </w:rPr>
      </w:pPr>
      <w:r>
        <w:rPr>
          <w:rFonts w:ascii="Arial;sans-serif" w:hAnsi="Arial;sans-serif"/>
          <w:b/>
          <w:color w:val="000000"/>
          <w:sz w:val="20"/>
        </w:rPr>
        <w:t xml:space="preserve">First Quarter 2023 Financial Results </w:t>
      </w:r>
    </w:p>
    <w:p>
      <w:pPr>
        <w:pStyle w:val="TextBody"/>
        <w:spacing w:lineRule="auto" w:line="288" w:before="120" w:after="120"/>
        <w:ind w:left="0" w:right="0" w:hanging="360"/>
        <w:rPr/>
      </w:pPr>
      <w:r>
        <w:rPr>
          <w:color w:val="000000"/>
        </w:rPr>
        <w:t>•</w:t>
      </w:r>
      <w:r>
        <w:rPr>
          <w:rFonts w:ascii="Arial;sans-serif" w:hAnsi="Arial;sans-serif"/>
          <w:b w:val="false"/>
          <w:color w:val="000000"/>
          <w:sz w:val="20"/>
        </w:rPr>
        <w:t>NGM Bio reported a net loss of $47.6 million for the quarter ended March 31, 2023, compared to a net loss of $32.5 million for the same period in 2022.</w:t>
      </w:r>
    </w:p>
    <w:p>
      <w:pPr>
        <w:pStyle w:val="TextBody"/>
        <w:spacing w:lineRule="auto" w:line="288" w:before="120" w:after="120"/>
        <w:ind w:left="0" w:right="0" w:hanging="360"/>
        <w:rPr/>
      </w:pPr>
      <w:r>
        <w:rPr>
          <w:color w:val="000000"/>
        </w:rPr>
        <w:t>•</w:t>
      </w:r>
      <w:r>
        <w:rPr>
          <w:rFonts w:ascii="Arial;sans-serif" w:hAnsi="Arial;sans-serif"/>
          <w:b w:val="false"/>
          <w:color w:val="000000"/>
          <w:sz w:val="20"/>
        </w:rPr>
        <w:t>Related party revenue from our collaboration with Merck Sharp &amp; Dohme LLC, or Merck, was $2.2 million for the quarter ended March 31, 2023, compared to $20.9 million for the same period in 2022. Our related party revenue from Merck decreased substantially after March 2022 and is expected to continue to decrease in 2023.</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R&amp;D expenses were $40.9 million for the quarter ended March 31, 2023, compared to $42.8 million for the same period in 2022. </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General and administrative expenses were $11.6 million for the quarter ended March 31, 2023, compared to $10.7 million for the same period in 2022. </w:t>
      </w:r>
    </w:p>
    <w:p>
      <w:pPr>
        <w:pStyle w:val="TextBody"/>
        <w:spacing w:lineRule="auto" w:line="288" w:before="120" w:after="120"/>
        <w:ind w:left="0" w:right="0" w:hanging="360"/>
        <w:rPr/>
      </w:pPr>
      <w:r>
        <w:rPr>
          <w:color w:val="000000"/>
        </w:rPr>
        <w:t>•</w:t>
      </w:r>
      <w:r>
        <w:rPr>
          <w:rFonts w:ascii="Arial;sans-serif" w:hAnsi="Arial;sans-serif"/>
          <w:b w:val="false"/>
          <w:color w:val="000000"/>
          <w:sz w:val="20"/>
        </w:rPr>
        <w:t xml:space="preserve">Cash, cash equivalents and short-term marketable securities were $231.0 million as of March 31, 2023, compared to $271.5 million as of December 31, 2022. NGM Bio expects its cash, cash equivalents and marketable securities will be sufficient to fund its planned operations into the second quarter of 2025. NGM Bio has based this estimate on plans and assumptions that may prove to be insufficient or inaccurate (for example, with respect to anticipated costs, timing or success of certain activities), and the company could utilize its available financial resources sooner than it currently expects. </w:t>
      </w:r>
    </w:p>
    <w:p>
      <w:pPr>
        <w:pStyle w:val="TextBody"/>
        <w:spacing w:lineRule="auto" w:line="288" w:before="240" w:after="120"/>
        <w:rPr>
          <w:rFonts w:ascii="Arial;sans-serif" w:hAnsi="Arial;sans-serif"/>
          <w:b/>
          <w:color w:val="000000"/>
          <w:sz w:val="20"/>
        </w:rPr>
      </w:pPr>
      <w:r>
        <w:rPr>
          <w:rFonts w:ascii="Arial;sans-serif" w:hAnsi="Arial;sans-serif"/>
          <w:b/>
          <w:color w:val="000000"/>
          <w:sz w:val="20"/>
        </w:rPr>
        <w:t xml:space="preserve">About NGM Biopharmaceuticals, Inc. </w: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 xml:space="preserve">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always led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120"/>
        <w:rPr>
          <w:rFonts w:ascii="Arial;sans-serif" w:hAnsi="Arial;sans-serif"/>
          <w:b w:val="false"/>
          <w:color w:val="000000"/>
          <w:sz w:val="20"/>
        </w:rPr>
      </w:pPr>
      <w:r>
        <w:rPr>
          <w:rFonts w:ascii="Arial;sans-serif" w:hAnsi="Arial;sans-serif"/>
          <w:b w:val="false"/>
          <w:color w:val="000000"/>
          <w:sz w:val="20"/>
        </w:rPr>
        <w:t>by biology and motivated by unmet patient need. Today, the company has four solid tumor oncology programs in clinical development. Visit us at www.ngmbio.com for more information.</w:t>
      </w:r>
    </w:p>
    <w:p>
      <w:pPr>
        <w:pStyle w:val="TextBody"/>
        <w:spacing w:lineRule="auto" w:line="288" w:before="120" w:after="120"/>
        <w:rPr/>
      </w:pPr>
      <w:r>
        <w:rPr>
          <w:rFonts w:ascii="Arial;sans-serif" w:hAnsi="Arial;sans-serif"/>
          <w:b w:val="false"/>
          <w:i/>
          <w:color w:val="000000"/>
          <w:sz w:val="16"/>
        </w:rPr>
        <w:t>KEYTRUDA® is a registered trademark of Merck Sharp &amp; Dohme Corp., a subsidiary of Merck &amp; Co., Inc., Rahway, NJ, USA</w:t>
      </w:r>
      <w:r>
        <w:rPr>
          <w:rFonts w:ascii="Arial;sans-serif" w:hAnsi="Arial;sans-serif"/>
          <w:b w:val="false"/>
          <w:color w:val="000000"/>
          <w:sz w:val="20"/>
        </w:rPr>
        <w:t>.</w:t>
      </w:r>
    </w:p>
    <w:p>
      <w:pPr>
        <w:pStyle w:val="TextBody"/>
        <w:spacing w:lineRule="auto" w:line="276" w:before="0" w:after="0"/>
        <w:rPr/>
      </w:pPr>
      <w:r>
        <w:rPr>
          <w:rFonts w:ascii="Arial;sans-serif" w:hAnsi="Arial;sans-serif"/>
          <w:b w:val="false"/>
          <w:color w:val="000000"/>
          <w:sz w:val="10"/>
        </w:rPr>
        <w:t xml:space="preserve">1 </w:t>
      </w:r>
      <w:r>
        <w:rPr>
          <w:rFonts w:ascii="Arial;sans-serif" w:hAnsi="Arial;sans-serif"/>
          <w:b w:val="false"/>
          <w:color w:val="000000"/>
          <w:sz w:val="16"/>
        </w:rPr>
        <w:t>A 0.3 mg aldafermin cohort was part of the original design of the trial and enrolled 7 patients prior to being discontinued in favor of enrolling more patients in the 1 mg and 3 mg arms of the trial. Patients in the 0.3 mg arm were primarily evaluated for safety.</w:t>
      </w:r>
    </w:p>
    <w:p>
      <w:pPr>
        <w:pStyle w:val="TextBody"/>
        <w:spacing w:lineRule="auto" w:line="288" w:before="240" w:after="120"/>
        <w:rPr>
          <w:rFonts w:ascii="Arial;sans-serif" w:hAnsi="Arial;sans-serif"/>
          <w:b/>
          <w:color w:val="000000"/>
          <w:sz w:val="20"/>
        </w:rPr>
      </w:pPr>
      <w:r>
        <w:rPr>
          <w:rFonts w:ascii="Arial;sans-serif" w:hAnsi="Arial;sans-serif"/>
          <w:b/>
          <w:color w:val="000000"/>
          <w:sz w:val="20"/>
        </w:rPr>
        <w:t>Abbreviations (in Alphabetical Order)</w:t>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F4=Stage 4 Liver Fibrosis; ILT2=Immunoglobin-Like Transcript 2; ILT3=Immunoglobin-Like Transcript 3; ILT4=Immunoglobin-Like Transcript 4; LAIR1=Leukocyte-Associated Immunoglobulin-Like Receptor 1; NASH=non-alcoholic steatohepatitis </w:t>
      </w:r>
    </w:p>
    <w:p>
      <w:pPr>
        <w:pStyle w:val="TextBody"/>
        <w:spacing w:lineRule="auto" w:line="288" w:before="240" w:after="120"/>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68" w:before="0" w:after="0"/>
        <w:rPr/>
      </w:pPr>
      <w:r>
        <w:rPr>
          <w:rFonts w:ascii="Arial;sans-serif" w:hAnsi="Arial;sans-serif"/>
          <w:b w:val="false"/>
          <w:color w:val="000000"/>
          <w:sz w:val="20"/>
        </w:rPr>
        <w:t xml:space="preserve">Statements contained in this press release regarding matters that are not historical facts are “forward-looking statements” within the meaning of the Private Securities Litigation Reform Act of 1995. Words such as </w:t>
      </w:r>
      <w:r>
        <w:rPr>
          <w:color w:val="001610"/>
        </w:rPr>
        <w:t>“</w:t>
      </w:r>
      <w:r>
        <w:rPr>
          <w:rFonts w:ascii="Arial;sans-serif" w:hAnsi="Arial;sans-serif"/>
          <w:b w:val="false"/>
          <w:color w:val="001610"/>
          <w:sz w:val="20"/>
        </w:rPr>
        <w:t>will,” “could,” “expect,” “expected,” “potential,” “promising,” “aspires,” “aims,”</w:t>
      </w:r>
      <w:r>
        <w:rPr>
          <w:color w:val="000000"/>
        </w:rPr>
        <w:t xml:space="preserve"> “</w:t>
      </w:r>
      <w:r>
        <w:rPr>
          <w:rFonts w:ascii="Arial;sans-serif" w:hAnsi="Arial;sans-serif"/>
          <w:b w:val="false"/>
          <w:color w:val="000000"/>
          <w:sz w:val="20"/>
        </w:rPr>
        <w:t xml:space="preserve">look forward to” and similar expressions (as well as other words or expressions referencing future events, conditions or circumstances) are intended to identify forward-looking statements. These statements include those related to: the therapeutic potential of NGM Bio’s product candidates; NGM Bio’s continued pipeline development, including identification and engagement of third-party partners for potential future business development arrangements (“BD Arrangements”) to determine further development of aldafermin, and research and development and discovery engine output; NGM Bio’s expectation of continued decreasing revenue from Merck; the costs, timing and financial impact of the restructuring; NGM Bio extending its expected cash runway and the timing thereof;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w:t>
      </w:r>
      <w:r>
        <w:rPr>
          <w:rFonts w:ascii="Arial;sans-serif" w:hAnsi="Arial;sans-serif"/>
          <w:b w:val="false"/>
          <w:color w:val="001610"/>
          <w:sz w:val="20"/>
        </w:rPr>
        <w:t>These forward-looking statements are subject to risks and uncertainties, including, without limitation, risks and uncertainties associated with the costly and time-consuming pharmaceutical product development process and the uncertainty of clinical success; risks related to failure or delays in successfully initiating, enrolling, reporting data from or completing clinical studies, as well as the risks that results obtained in preclinical or clinical trials to date may not be indicative of results obtained in future trials; NGM Bio’s reliance on its amended collaboration with Merck; NGM Bio’s ability to identify and engage third-party partners for BD Arrangements, if any, and its ability to attract such partners; the time-consuming and uncertain regulatory approval process; NGM Bio’s reliance on third-party manufacturers for its product candidates and the risks inherent in manufacturing and testing pharmaceutical products; the sufficiency of NGM Bio’s cash resources and expected cash runway, including the risk that NGM Bio could utilize its available capital resources sooner than it currently expects and its need for additional capital; macroeconomic conditions (such as the impacts of the ongoing COVID-19 pandemic and the conflict between Russia and Ukraine, global economic slowdown, increased inflation, rising interest rates and recent and potential future bank failures); and other risks and uncertainties affecting NGM Bio and its development programs</w:t>
      </w:r>
      <w:r>
        <w:rPr>
          <w:rFonts w:ascii="Arial;sans-serif" w:hAnsi="Arial;sans-serif"/>
          <w:b w:val="false"/>
          <w:color w:val="000000"/>
          <w:sz w:val="20"/>
        </w:rPr>
        <w:t>, including those discussed in the section titled “Risk Factors” in NGM Bio’s Annual Report on Form 10-K for the year ended December 31, 2022 filed with the United States Securities and Exchange Commission (“SEC”) on February 28, 2023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pStyle w:val="TextBody"/>
        <w:spacing w:before="0" w:after="0"/>
        <w:rPr/>
      </w:pPr>
      <w:r>
        <w:rPr/>
      </w:r>
    </w:p>
    <w:p>
      <w:pPr>
        <w:pStyle w:val="TextBody"/>
        <w:spacing w:before="0" w:after="0"/>
        <w:rPr/>
      </w:pPr>
      <w:r>
        <w:rPr/>
      </w:r>
    </w:p>
    <w:p>
      <w:pPr>
        <w:pStyle w:val="TextBody"/>
        <w:spacing w:before="0" w:after="0"/>
        <w:rPr/>
      </w:pPr>
      <w:r>
        <w:rPr/>
      </w:r>
    </w:p>
    <w:tbl>
      <w:tblPr>
        <w:tblW w:w="3631" w:type="dxa"/>
        <w:jc w:val="left"/>
        <w:tblInd w:w="0" w:type="dxa"/>
        <w:tblCellMar>
          <w:top w:w="28" w:type="dxa"/>
          <w:left w:w="28" w:type="dxa"/>
          <w:bottom w:w="28" w:type="dxa"/>
          <w:right w:w="28" w:type="dxa"/>
        </w:tblCellMar>
      </w:tblPr>
      <w:tblGrid>
        <w:gridCol w:w="614"/>
        <w:gridCol w:w="539"/>
        <w:gridCol w:w="542"/>
        <w:gridCol w:w="567"/>
        <w:gridCol w:w="567"/>
        <w:gridCol w:w="802"/>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000000"/>
                <w:sz w:val="20"/>
              </w:rPr>
            </w:pPr>
            <w:r>
              <w:rPr>
                <w:rFonts w:ascii="Arial;sans-serif" w:hAnsi="Arial;sans-serif"/>
                <w:b/>
                <w:color w:val="000000"/>
                <w:sz w:val="20"/>
              </w:rPr>
              <w:t>Investor Contact:</w:t>
            </w:r>
          </w:p>
          <w:p>
            <w:pPr>
              <w:pStyle w:val="TableContents"/>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ir@ngmbio.com</w:t>
            </w:r>
          </w:p>
        </w:tc>
        <w:tc>
          <w:tcPr>
            <w:tcW w:w="193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Contact:</w:t>
            </w:r>
          </w:p>
          <w:p>
            <w:pPr>
              <w:pStyle w:val="TableContents"/>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media@ngmbio.com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NGM BIOPHARMACEUTICALS, INC.</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CONDENSED CONSOLIDATED STATEMENTS OF OPERATIONS</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(In thousands, except per share amounts)</w:t>
      </w:r>
    </w:p>
    <w:p>
      <w:pPr>
        <w:pStyle w:val="TextBody"/>
        <w:spacing w:lineRule="auto" w:line="288" w:before="0" w:after="120"/>
        <w:jc w:val="center"/>
        <w:rPr>
          <w:rFonts w:ascii="Arial;sans-serif" w:hAnsi="Arial;sans-serif"/>
          <w:b/>
          <w:color w:val="000000"/>
          <w:sz w:val="20"/>
          <w:highlight w:val="white"/>
        </w:rPr>
      </w:pPr>
      <w:r>
        <w:rPr>
          <w:rFonts w:ascii="Arial;sans-serif" w:hAnsi="Arial;sans-serif"/>
          <w:b/>
          <w:color w:val="000000"/>
          <w:sz w:val="20"/>
          <w:highlight w:val="white"/>
        </w:rPr>
        <w:t>(Unaudited)</w:t>
      </w:r>
    </w:p>
    <w:tbl>
      <w:tblPr>
        <w:tblW w:w="9684" w:type="dxa"/>
        <w:jc w:val="left"/>
        <w:tblInd w:w="0" w:type="dxa"/>
        <w:tblCellMar>
          <w:top w:w="28" w:type="dxa"/>
          <w:left w:w="28" w:type="dxa"/>
          <w:bottom w:w="28" w:type="dxa"/>
          <w:right w:w="28" w:type="dxa"/>
        </w:tblCellMar>
      </w:tblPr>
      <w:tblGrid>
        <w:gridCol w:w="2555"/>
        <w:gridCol w:w="2243"/>
        <w:gridCol w:w="2252"/>
        <w:gridCol w:w="211"/>
        <w:gridCol w:w="811"/>
        <w:gridCol w:w="109"/>
        <w:gridCol w:w="109"/>
        <w:gridCol w:w="109"/>
        <w:gridCol w:w="109"/>
        <w:gridCol w:w="211"/>
        <w:gridCol w:w="811"/>
        <w:gridCol w:w="154"/>
      </w:tblGrid>
      <w:tr>
        <w:trPr/>
        <w:tc>
          <w:tcPr>
            <w:tcW w:w="2555"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10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78,023 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NGM BIOPHARMACEUTICALS, INC.</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CONDENSED CONSOLIDATED BALANCE SHEETS</w:t>
      </w:r>
    </w:p>
    <w:p>
      <w:pPr>
        <w:pStyle w:val="TextBody"/>
        <w:spacing w:lineRule="auto" w:line="288" w:before="0" w:after="0"/>
        <w:jc w:val="center"/>
        <w:rPr/>
      </w:pPr>
      <w:r>
        <w:rPr>
          <w:rFonts w:ascii="Arial;sans-serif" w:hAnsi="Arial;sans-serif"/>
          <w:b/>
          <w:color w:val="000000"/>
          <w:sz w:val="20"/>
          <w:highlight w:val="white"/>
        </w:rPr>
        <w:t xml:space="preserve">(In thousands, </w:t>
      </w:r>
      <w:r>
        <w:rPr>
          <w:rFonts w:ascii="Arial;sans-serif" w:hAnsi="Arial;sans-serif"/>
          <w:b/>
          <w:color w:val="000000"/>
          <w:sz w:val="20"/>
        </w:rPr>
        <w:t>except per share amounts</w:t>
      </w:r>
      <w:r>
        <w:rPr>
          <w:rFonts w:ascii="Arial;sans-serif" w:hAnsi="Arial;sans-serif"/>
          <w:b/>
          <w:color w:val="000000"/>
          <w:sz w:val="20"/>
          <w:highlight w:val="white"/>
        </w:rPr>
        <w:t>)</w:t>
      </w:r>
      <w:r>
        <w:rPr>
          <w:color w:val="000000"/>
          <w:highlight w:val="white"/>
        </w:rPr>
        <w:t> </w:t>
      </w:r>
    </w:p>
    <w:p>
      <w:pPr>
        <w:pStyle w:val="TextBody"/>
        <w:spacing w:lineRule="auto" w:line="288" w:before="0" w:after="0"/>
        <w:jc w:val="center"/>
        <w:rPr>
          <w:rFonts w:ascii="Arial;sans-serif" w:hAnsi="Arial;sans-serif"/>
          <w:b/>
          <w:color w:val="000000"/>
          <w:sz w:val="20"/>
          <w:highlight w:val="white"/>
        </w:rPr>
      </w:pPr>
      <w:r>
        <w:rPr>
          <w:rFonts w:ascii="Arial;sans-serif" w:hAnsi="Arial;sans-serif"/>
          <w:b/>
          <w:color w:val="000000"/>
          <w:sz w:val="20"/>
          <w:highlight w:val="white"/>
        </w:rPr>
        <w:t>(Unaudited)</w:t>
      </w:r>
    </w:p>
    <w:p>
      <w:pPr>
        <w:pStyle w:val="TextBody"/>
        <w:spacing w:before="0" w:after="0"/>
        <w:jc w:val="center"/>
        <w:rPr/>
      </w:pPr>
      <w:r>
        <w:rPr/>
      </w:r>
    </w:p>
    <w:tbl>
      <w:tblPr>
        <w:tblW w:w="7098" w:type="dxa"/>
        <w:jc w:val="left"/>
        <w:tblInd w:w="0" w:type="dxa"/>
        <w:tblCellMar>
          <w:top w:w="28" w:type="dxa"/>
          <w:left w:w="28" w:type="dxa"/>
          <w:bottom w:w="28" w:type="dxa"/>
          <w:right w:w="28" w:type="dxa"/>
        </w:tblCellMar>
      </w:tblPr>
      <w:tblGrid>
        <w:gridCol w:w="1538"/>
        <w:gridCol w:w="1349"/>
        <w:gridCol w:w="1358"/>
        <w:gridCol w:w="211"/>
        <w:gridCol w:w="856"/>
        <w:gridCol w:w="109"/>
        <w:gridCol w:w="109"/>
        <w:gridCol w:w="109"/>
        <w:gridCol w:w="109"/>
        <w:gridCol w:w="233"/>
        <w:gridCol w:w="947"/>
        <w:gridCol w:w="170"/>
      </w:tblGrid>
      <w:tr>
        <w:trPr/>
        <w:tc>
          <w:tcPr>
            <w:tcW w:w="1538"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$0.001 par value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$0.001 par value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w:t>
      </w:r>
    </w:p>
    <w:p>
      <w:pPr>
        <w:pStyle w:val="TextBody"/>
        <w:spacing w:lineRule="auto" w:line="300" w:before="0" w:after="160"/>
        <w:ind w:left="0" w:right="0" w:hanging="360"/>
        <w:rPr>
          <w:color w:val="000000"/>
        </w:rPr>
      </w:pPr>
      <w:r>
        <w:rPr>
          <w:color w:val="000000"/>
        </w:rPr>
        <w:t>    </w:t>
      </w:r>
      <w:r>
        <w:rPr>
          <w:rFonts w:ascii="Arial;sans-serif" w:hAnsi="Arial;sans-serif"/>
          <w:b w:val="false"/>
          <w:color w:val="000000"/>
          <w:sz w:val="18"/>
        </w:rPr>
        <w:t>* Derived from the audited consolidated financial statements.</w:t>
      </w:r>
      <w:r>
        <w:br w:type="page"/>
      </w:r>
    </w:p>
    <w:p>
      <w:pPr>
        <w:pStyle w:val="TextBody"/>
        <w:spacing w:before="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2668</Words>
  <CharactersWithSpaces>17954</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