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0001426332</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NGM BIOPHARMACEUTICALS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Within Last Five Years (Specify Year) 2007</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NGM BIOPHARMACEUTICALS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630 Gateway Boulevard</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South San Francisco</w:t>
      </w:r>
      <w:r>
        <w:rPr>
          <w:sz w:val="20"/>
          <w:szCs w:val="20"/>
          <w:color w:val="auto"/>
        </w:rPr>
        <w:tab/>
      </w:r>
      <w:r>
        <w:rPr>
          <w:rFonts w:ascii="Arial" w:cs="Arial" w:eastAsia="Arial" w:hAnsi="Arial"/>
          <w:sz w:val="21"/>
          <w:szCs w:val="21"/>
          <w:color w:val="auto"/>
        </w:rPr>
        <w:t>CA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94080</w:t>
      </w:r>
      <w:r>
        <w:rPr>
          <w:sz w:val="20"/>
          <w:szCs w:val="20"/>
          <w:color w:val="auto"/>
        </w:rPr>
        <w:tab/>
      </w:r>
      <w:r>
        <w:rPr>
          <w:rFonts w:ascii="Arial" w:cs="Arial" w:eastAsia="Arial" w:hAnsi="Arial"/>
          <w:sz w:val="22"/>
          <w:szCs w:val="22"/>
          <w:color w:val="auto"/>
        </w:rPr>
        <w:t>650-243-5555</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Chen</w:t>
            </w:r>
          </w:p>
        </w:tc>
        <w:tc>
          <w:tcPr>
            <w:tcW w:w="1040" w:type="dxa"/>
            <w:vAlign w:val="bottom"/>
          </w:tcPr>
          <w:p>
            <w:pPr>
              <w:ind w:left="260"/>
              <w:spacing w:after="0"/>
              <w:rPr>
                <w:sz w:val="20"/>
                <w:szCs w:val="20"/>
                <w:color w:val="auto"/>
              </w:rPr>
            </w:pPr>
            <w:r>
              <w:rPr>
                <w:rFonts w:ascii="Arial" w:cs="Arial" w:eastAsia="Arial" w:hAnsi="Arial"/>
                <w:sz w:val="22"/>
                <w:szCs w:val="22"/>
                <w:color w:val="auto"/>
                <w:w w:val="90"/>
              </w:rPr>
              <w:t>Jin-Long</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South San Francisco</w:t>
            </w:r>
          </w:p>
        </w:tc>
        <w:tc>
          <w:tcPr>
            <w:tcW w:w="1040" w:type="dxa"/>
            <w:vAlign w:val="bottom"/>
          </w:tcPr>
          <w:p>
            <w:pPr>
              <w:ind w:left="260"/>
              <w:spacing w:after="0"/>
              <w:rPr>
                <w:sz w:val="20"/>
                <w:szCs w:val="20"/>
                <w:color w:val="auto"/>
              </w:rPr>
            </w:pPr>
            <w:r>
              <w:rPr>
                <w:rFonts w:ascii="Arial" w:cs="Arial" w:eastAsia="Arial" w:hAnsi="Arial"/>
                <w:sz w:val="22"/>
                <w:szCs w:val="22"/>
                <w:color w:val="auto"/>
              </w:rPr>
              <w:t>CA</w:t>
            </w:r>
          </w:p>
        </w:tc>
        <w:tc>
          <w:tcPr>
            <w:tcW w:w="23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94080</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30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Bayol</w:t>
            </w:r>
          </w:p>
        </w:tc>
        <w:tc>
          <w:tcPr>
            <w:tcW w:w="1040" w:type="dxa"/>
            <w:vAlign w:val="bottom"/>
          </w:tcPr>
          <w:p>
            <w:pPr>
              <w:ind w:left="260"/>
              <w:spacing w:after="0"/>
              <w:rPr>
                <w:sz w:val="20"/>
                <w:szCs w:val="20"/>
                <w:color w:val="auto"/>
              </w:rPr>
            </w:pPr>
            <w:r>
              <w:rPr>
                <w:rFonts w:ascii="Arial" w:cs="Arial" w:eastAsia="Arial" w:hAnsi="Arial"/>
                <w:sz w:val="22"/>
                <w:szCs w:val="22"/>
                <w:color w:val="auto"/>
              </w:rPr>
              <w:t>Luis</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South San Francisco</w:t>
            </w:r>
          </w:p>
        </w:tc>
        <w:tc>
          <w:tcPr>
            <w:tcW w:w="1040" w:type="dxa"/>
            <w:vAlign w:val="bottom"/>
          </w:tcPr>
          <w:p>
            <w:pPr>
              <w:ind w:left="260"/>
              <w:spacing w:after="0"/>
              <w:rPr>
                <w:sz w:val="20"/>
                <w:szCs w:val="20"/>
                <w:color w:val="auto"/>
              </w:rPr>
            </w:pPr>
            <w:r>
              <w:rPr>
                <w:rFonts w:ascii="Arial" w:cs="Arial" w:eastAsia="Arial" w:hAnsi="Arial"/>
                <w:sz w:val="22"/>
                <w:szCs w:val="22"/>
                <w:color w:val="auto"/>
              </w:rPr>
              <w:t>CA</w:t>
            </w:r>
          </w:p>
        </w:tc>
        <w:tc>
          <w:tcPr>
            <w:tcW w:w="23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94080</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Goeddel</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David</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980" w:type="dxa"/>
            <w:vAlign w:val="bottom"/>
          </w:tcPr>
          <w:p>
            <w:pPr>
              <w:ind w:left="260"/>
              <w:spacing w:after="0"/>
              <w:rPr>
                <w:sz w:val="20"/>
                <w:szCs w:val="20"/>
                <w:color w:val="auto"/>
              </w:rPr>
            </w:pPr>
            <w:r>
              <w:rPr>
                <w:rFonts w:ascii="Arial" w:cs="Arial" w:eastAsia="Arial" w:hAnsi="Arial"/>
                <w:sz w:val="22"/>
                <w:szCs w:val="22"/>
                <w:color w:val="auto"/>
              </w:rPr>
              <w:t>CA</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94080</w:t>
            </w:r>
          </w:p>
        </w:tc>
      </w:tr>
      <w:tr>
        <w:trPr>
          <w:trHeight w:val="324"/>
        </w:trPr>
        <w:tc>
          <w:tcPr>
            <w:tcW w:w="4180" w:type="dxa"/>
            <w:vAlign w:val="bottom"/>
            <w:gridSpan w:val="3"/>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8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Kim</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Helen</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980" w:type="dxa"/>
            <w:vAlign w:val="bottom"/>
          </w:tcPr>
          <w:p>
            <w:pPr>
              <w:ind w:left="260"/>
              <w:spacing w:after="0"/>
              <w:rPr>
                <w:sz w:val="20"/>
                <w:szCs w:val="20"/>
                <w:color w:val="auto"/>
              </w:rPr>
            </w:pPr>
            <w:r>
              <w:rPr>
                <w:rFonts w:ascii="Arial" w:cs="Arial" w:eastAsia="Arial" w:hAnsi="Arial"/>
                <w:sz w:val="22"/>
                <w:szCs w:val="22"/>
                <w:color w:val="auto"/>
              </w:rPr>
              <w:t>CA</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94080</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Director</w:t>
            </w:r>
          </w:p>
        </w:tc>
        <w:tc>
          <w:tcPr>
            <w:tcW w:w="238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Leschly</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Marc</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Rho Ventures</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525 University Ave., Suite 1350</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CA</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94301</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680" w:type="dxa"/>
            <w:vAlign w:val="bottom"/>
            <w:gridSpan w:val="2"/>
          </w:tcPr>
          <w:p>
            <w:pPr>
              <w:jc w:val="right"/>
              <w:ind w:right="32"/>
              <w:spacing w:after="0"/>
              <w:rPr>
                <w:sz w:val="20"/>
                <w:szCs w:val="20"/>
                <w:color w:val="auto"/>
              </w:rPr>
            </w:pPr>
            <w:r>
              <w:rPr>
                <w:rFonts w:ascii="Arial" w:cs="Arial" w:eastAsia="Arial" w:hAnsi="Arial"/>
                <w:sz w:val="22"/>
                <w:szCs w:val="22"/>
                <w:color w:val="auto"/>
                <w:w w:val="93"/>
              </w:rPr>
              <w:t>Executive Officer X Director</w:t>
            </w:r>
          </w:p>
        </w:tc>
        <w:tc>
          <w:tcPr>
            <w:tcW w:w="238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Levinson</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Arthur</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D.</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980" w:type="dxa"/>
            <w:vAlign w:val="bottom"/>
          </w:tcPr>
          <w:p>
            <w:pPr>
              <w:ind w:left="260"/>
              <w:spacing w:after="0"/>
              <w:rPr>
                <w:sz w:val="20"/>
                <w:szCs w:val="20"/>
                <w:color w:val="auto"/>
              </w:rPr>
            </w:pPr>
            <w:r>
              <w:rPr>
                <w:rFonts w:ascii="Arial" w:cs="Arial" w:eastAsia="Arial" w:hAnsi="Arial"/>
                <w:sz w:val="22"/>
                <w:szCs w:val="22"/>
                <w:color w:val="auto"/>
              </w:rPr>
              <w:t>CA</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94080</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680" w:type="dxa"/>
            <w:vAlign w:val="bottom"/>
            <w:gridSpan w:val="2"/>
          </w:tcPr>
          <w:p>
            <w:pPr>
              <w:jc w:val="right"/>
              <w:ind w:right="32"/>
              <w:spacing w:after="0"/>
              <w:rPr>
                <w:sz w:val="20"/>
                <w:szCs w:val="20"/>
                <w:color w:val="auto"/>
              </w:rPr>
            </w:pPr>
            <w:r>
              <w:rPr>
                <w:rFonts w:ascii="Arial" w:cs="Arial" w:eastAsia="Arial" w:hAnsi="Arial"/>
                <w:sz w:val="22"/>
                <w:szCs w:val="22"/>
                <w:color w:val="auto"/>
                <w:w w:val="93"/>
              </w:rPr>
              <w:t>Executive Officer X Director</w:t>
            </w:r>
          </w:p>
        </w:tc>
        <w:tc>
          <w:tcPr>
            <w:tcW w:w="238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Schnell</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David</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Prospect Ventures, L.P.</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435 Tasso St., Suite 200</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CA</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94301</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680" w:type="dxa"/>
            <w:vAlign w:val="bottom"/>
            <w:gridSpan w:val="2"/>
          </w:tcPr>
          <w:p>
            <w:pPr>
              <w:jc w:val="right"/>
              <w:ind w:right="32"/>
              <w:spacing w:after="0"/>
              <w:rPr>
                <w:sz w:val="20"/>
                <w:szCs w:val="20"/>
                <w:color w:val="auto"/>
              </w:rPr>
            </w:pPr>
            <w:r>
              <w:rPr>
                <w:rFonts w:ascii="Arial" w:cs="Arial" w:eastAsia="Arial" w:hAnsi="Arial"/>
                <w:sz w:val="22"/>
                <w:szCs w:val="22"/>
                <w:color w:val="auto"/>
                <w:w w:val="93"/>
              </w:rPr>
              <w:t>Executive Officer X Director</w:t>
            </w:r>
          </w:p>
        </w:tc>
        <w:tc>
          <w:tcPr>
            <w:tcW w:w="238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Svennilson</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Peter</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w w:val="91"/>
              </w:rPr>
              <w:t>3121 Polo Drive</w:t>
            </w:r>
          </w:p>
        </w:tc>
        <w:tc>
          <w:tcPr>
            <w:tcW w:w="1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Gulf Stream</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FL</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33483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p>
      <w:pPr>
        <w:spacing w:after="0" w:line="42"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80" w:orient="portrait"/>
          <w:cols w:equalWidth="0" w:num="1">
            <w:col w:w="10219"/>
          </w:cols>
          <w:pgMar w:left="240" w:top="111"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80" w:orient="portrait"/>
          <w:cols w:equalWidth="0" w:num="2">
            <w:col w:w="3600" w:space="340"/>
            <w:col w:w="6279"/>
          </w:cols>
          <w:pgMar w:left="240" w:top="111"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275"/>
        </w:trPr>
        <w:tc>
          <w:tcPr>
            <w:tcW w:w="3540" w:type="dxa"/>
            <w:vAlign w:val="bottom"/>
            <w:gridSpan w:val="2"/>
          </w:tcPr>
          <w:p>
            <w:pPr>
              <w:spacing w:after="0"/>
              <w:rPr>
                <w:sz w:val="20"/>
                <w:szCs w:val="20"/>
                <w:color w:val="auto"/>
              </w:rPr>
            </w:pPr>
            <w:r>
              <w:rPr>
                <w:rFonts w:ascii="Arial" w:cs="Arial" w:eastAsia="Arial" w:hAnsi="Arial"/>
                <w:sz w:val="22"/>
                <w:szCs w:val="22"/>
                <w:color w:val="auto"/>
              </w:rPr>
              <w:t>Rule 504(b)(1) (not (i), (ii) or (iii))</w:t>
            </w:r>
          </w:p>
        </w:tc>
        <w:tc>
          <w:tcPr>
            <w:tcW w:w="2600" w:type="dxa"/>
            <w:vAlign w:val="bottom"/>
          </w:tcPr>
          <w:p>
            <w:pPr>
              <w:ind w:left="820"/>
              <w:spacing w:after="0"/>
              <w:rPr>
                <w:sz w:val="20"/>
                <w:szCs w:val="20"/>
                <w:color w:val="auto"/>
              </w:rPr>
            </w:pPr>
            <w:r>
              <w:rPr>
                <w:rFonts w:ascii="Arial" w:cs="Arial" w:eastAsia="Arial" w:hAnsi="Arial"/>
                <w:sz w:val="22"/>
                <w:szCs w:val="22"/>
                <w:color w:val="auto"/>
              </w:rPr>
              <w:t>Rule 505</w:t>
            </w:r>
          </w:p>
        </w:tc>
        <w:tc>
          <w:tcPr>
            <w:tcW w:w="1900" w:type="dxa"/>
            <w:vAlign w:val="bottom"/>
          </w:tcPr>
          <w:p>
            <w:pPr>
              <w:spacing w:after="0"/>
              <w:rPr>
                <w:sz w:val="23"/>
                <w:szCs w:val="23"/>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w:t>
            </w:r>
          </w:p>
        </w:tc>
        <w:tc>
          <w:tcPr>
            <w:tcW w:w="2600" w:type="dxa"/>
            <w:vAlign w:val="bottom"/>
          </w:tcPr>
          <w:p>
            <w:pPr>
              <w:ind w:left="540"/>
              <w:spacing w:after="0"/>
              <w:rPr>
                <w:sz w:val="20"/>
                <w:szCs w:val="20"/>
                <w:color w:val="auto"/>
              </w:rPr>
            </w:pPr>
            <w:r>
              <w:rPr>
                <w:rFonts w:ascii="Arial" w:cs="Arial" w:eastAsia="Arial" w:hAnsi="Arial"/>
                <w:sz w:val="22"/>
                <w:szCs w:val="22"/>
                <w:color w:val="auto"/>
              </w:rPr>
              <w:t>X Rule 506</w:t>
            </w:r>
          </w:p>
        </w:tc>
        <w:tc>
          <w:tcPr>
            <w:tcW w:w="190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rPr>
              <w:t>Securities Act Section 4(5)</w:t>
            </w: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3(c)(1)</w:t>
            </w:r>
          </w:p>
        </w:tc>
        <w:tc>
          <w:tcPr>
            <w:tcW w:w="1900" w:type="dxa"/>
            <w:vAlign w:val="bottom"/>
          </w:tcPr>
          <w:p>
            <w:pPr>
              <w:ind w:left="460"/>
              <w:spacing w:after="0"/>
              <w:rPr>
                <w:sz w:val="20"/>
                <w:szCs w:val="20"/>
                <w:color w:val="auto"/>
              </w:rPr>
            </w:pPr>
            <w:r>
              <w:rPr>
                <w:rFonts w:ascii="Arial" w:cs="Arial" w:eastAsia="Arial" w:hAnsi="Arial"/>
                <w:sz w:val="22"/>
                <w:szCs w:val="22"/>
                <w:color w:val="auto"/>
                <w:w w:val="98"/>
              </w:rPr>
              <w:t>Section 3(c)(9)</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3(c)(2)</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3(c)(10)</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3(c)(3)</w:t>
            </w:r>
          </w:p>
        </w:tc>
        <w:tc>
          <w:tcPr>
            <w:tcW w:w="1900" w:type="dxa"/>
            <w:vAlign w:val="bottom"/>
          </w:tcPr>
          <w:p>
            <w:pPr>
              <w:ind w:left="500"/>
              <w:spacing w:after="0"/>
              <w:rPr>
                <w:sz w:val="20"/>
                <w:szCs w:val="20"/>
                <w:color w:val="auto"/>
              </w:rPr>
            </w:pPr>
            <w:r>
              <w:rPr>
                <w:rFonts w:ascii="Arial" w:cs="Arial" w:eastAsia="Arial" w:hAnsi="Arial"/>
                <w:sz w:val="22"/>
                <w:szCs w:val="22"/>
                <w:color w:val="auto"/>
                <w:w w:val="88"/>
              </w:rPr>
              <w:t>Section 3(c)(11)</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3(c)(4)</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3(c)(12)</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3(c)(5)</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3(c)(13)</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3(c)(6)</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3(c)(14)</w:t>
            </w:r>
          </w:p>
        </w:tc>
      </w:tr>
    </w:tbl>
    <w:p>
      <w:pPr>
        <w:sectPr>
          <w:pgSz w:w="11900" w:h="16880" w:orient="portrait"/>
          <w:cols w:equalWidth="0" w:num="1">
            <w:col w:w="10219"/>
          </w:cols>
          <w:pgMar w:left="240" w:top="111" w:right="1440" w:bottom="0" w:gutter="0" w:footer="0" w:header="0"/>
          <w:type w:val="continuous"/>
        </w:sectPr>
      </w:pPr>
    </w:p>
    <w:bookmarkStart w:id="3" w:name="page4"/>
    <w:bookmarkEnd w:id="3"/>
    <w:p>
      <w:pPr>
        <w:ind w:left="4580"/>
        <w:spacing w:after="0"/>
        <w:rPr>
          <w:sz w:val="20"/>
          <w:szCs w:val="20"/>
          <w:color w:val="auto"/>
        </w:rPr>
      </w:pPr>
      <w:r>
        <w:rPr>
          <w:rFonts w:ascii="Arial" w:cs="Arial" w:eastAsia="Arial" w:hAnsi="Arial"/>
          <w:sz w:val="22"/>
          <w:szCs w:val="22"/>
          <w:color w:val="auto"/>
        </w:rPr>
        <w:t>Section 3(c)(7)</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2008-01-18</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2"/>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p>
      <w:pPr>
        <w:ind w:left="40"/>
        <w:spacing w:after="0"/>
        <w:tabs>
          <w:tab w:leader="none" w:pos="5600" w:val="left"/>
          <w:tab w:leader="none" w:pos="6360" w:val="left"/>
        </w:tabs>
        <w:rPr>
          <w:sz w:val="20"/>
          <w:szCs w:val="20"/>
          <w:color w:val="auto"/>
        </w:rPr>
      </w:pPr>
      <w:r>
        <w:rPr>
          <w:rFonts w:ascii="Arial" w:cs="Arial" w:eastAsia="Arial" w:hAnsi="Arial"/>
          <w:sz w:val="21"/>
          <w:szCs w:val="21"/>
          <w:color w:val="auto"/>
        </w:rPr>
        <w:t>Does the Issuer intend this offering to last more than one year?</w:t>
      </w:r>
      <w:r>
        <w:rPr>
          <w:sz w:val="20"/>
          <w:szCs w:val="20"/>
          <w:color w:val="auto"/>
        </w:rPr>
        <w:tab/>
      </w:r>
      <w:r>
        <w:rPr>
          <w:rFonts w:ascii="Arial" w:cs="Arial" w:eastAsia="Arial" w:hAnsi="Arial"/>
          <w:sz w:val="22"/>
          <w:szCs w:val="22"/>
          <w:color w:val="auto"/>
        </w:rPr>
        <w:t>X Yes</w:t>
      </w:r>
      <w:r>
        <w:rPr>
          <w:sz w:val="20"/>
          <w:szCs w:val="20"/>
          <w:color w:val="auto"/>
        </w:rPr>
        <w:tab/>
      </w:r>
      <w:r>
        <w:rPr>
          <w:rFonts w:ascii="Arial" w:cs="Arial" w:eastAsia="Arial" w:hAnsi="Arial"/>
          <w:sz w:val="19"/>
          <w:szCs w:val="19"/>
          <w:color w:val="auto"/>
        </w:rPr>
        <w:t>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1380"/>
          </w:cols>
          <w:pgMar w:left="240" w:top="213" w:right="279" w:bottom="0" w:gutter="0" w:footer="0" w:header="0"/>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3"/>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Pooled Investment Fund Interests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Tenant-in-Common Securities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Mineral Property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Sale and issuance of Series A preferrred stock and the underlying shares of common stock issuable upon conversion thereof.</w:t>
      </w:r>
    </w:p>
    <w:p>
      <w:pPr>
        <w:spacing w:after="0" w:line="200" w:lineRule="exact"/>
        <w:rPr>
          <w:sz w:val="20"/>
          <w:szCs w:val="20"/>
          <w:color w:val="auto"/>
        </w:rPr>
      </w:pPr>
    </w:p>
    <w:p>
      <w:pPr>
        <w:sectPr>
          <w:pgSz w:w="11900" w:h="16838" w:orient="portrait"/>
          <w:cols w:equalWidth="0" w:num="2">
            <w:col w:w="5580" w:space="160"/>
            <w:col w:w="5640"/>
          </w:cols>
          <w:pgMar w:left="240" w:top="213" w:right="279" w:bottom="0" w:gutter="0" w:footer="0" w:header="0"/>
          <w:type w:val="continuous"/>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2"/>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546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ind w:left="20"/>
              <w:spacing w:after="0"/>
              <w:rPr>
                <w:sz w:val="20"/>
                <w:szCs w:val="20"/>
                <w:color w:val="auto"/>
              </w:rPr>
            </w:pPr>
            <w:r>
              <w:rPr>
                <w:rFonts w:ascii="Arial" w:cs="Arial" w:eastAsia="Arial" w:hAnsi="Arial"/>
                <w:sz w:val="22"/>
                <w:szCs w:val="22"/>
                <w:color w:val="auto"/>
                <w:w w:val="96"/>
              </w:rPr>
              <w:t>$26,550,000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w w:val="93"/>
              </w:rPr>
              <w:t>$17,616,665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ind w:left="120"/>
              <w:spacing w:after="0"/>
              <w:rPr>
                <w:sz w:val="20"/>
                <w:szCs w:val="20"/>
                <w:color w:val="auto"/>
              </w:rPr>
            </w:pPr>
            <w:r>
              <w:rPr>
                <w:rFonts w:ascii="Arial" w:cs="Arial" w:eastAsia="Arial" w:hAnsi="Arial"/>
                <w:sz w:val="22"/>
                <w:szCs w:val="22"/>
                <w:color w:val="auto"/>
                <w:w w:val="97"/>
              </w:rPr>
              <w:t>$8,933,335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213" w:right="279" w:bottom="0" w:gutter="0" w:footer="0" w:header="0"/>
          <w:type w:val="continuous"/>
        </w:sectPr>
      </w:pPr>
    </w:p>
    <w:bookmarkStart w:id="4" w:name="page5"/>
    <w:bookmarkEnd w:id="4"/>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1440" w:gutter="0" w:footer="0" w:header="0"/>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4200" w:type="dxa"/>
            <w:vAlign w:val="bottom"/>
            <w:tcBorders>
              <w:top w:val="single" w:sz="8" w:color="2C2C2C"/>
              <w:bottom w:val="single" w:sz="8" w:color="808080"/>
            </w:tcBorders>
          </w:tcPr>
          <w:p>
            <w:pPr>
              <w:ind w:left="182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84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840" w:type="dxa"/>
            <w:vAlign w:val="bottom"/>
            <w:tcBorders>
              <w:top w:val="single" w:sz="8" w:color="2C2C2C"/>
              <w:bottom w:val="single" w:sz="8" w:color="808080"/>
            </w:tcBorders>
          </w:tcPr>
          <w:p>
            <w:pPr>
              <w:ind w:left="2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060" w:type="dxa"/>
            <w:vAlign w:val="bottom"/>
            <w:tcBorders>
              <w:top w:val="single" w:sz="8" w:color="2C2C2C"/>
              <w:bottom w:val="single" w:sz="8" w:color="808080"/>
            </w:tcBorders>
          </w:tcPr>
          <w:p>
            <w:pPr>
              <w:ind w:left="82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28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NGM BIOPHARMACEUTICALS INC</w:t>
            </w:r>
          </w:p>
        </w:tc>
        <w:tc>
          <w:tcPr>
            <w:tcW w:w="40" w:type="dxa"/>
            <w:vAlign w:val="bottom"/>
          </w:tcPr>
          <w:p>
            <w:pPr>
              <w:spacing w:after="0"/>
              <w:rPr>
                <w:sz w:val="22"/>
                <w:szCs w:val="22"/>
                <w:color w:val="auto"/>
              </w:rPr>
            </w:pP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Michael E. Tenta</w:t>
            </w:r>
          </w:p>
        </w:tc>
        <w:tc>
          <w:tcPr>
            <w:tcW w:w="20" w:type="dxa"/>
            <w:vAlign w:val="bottom"/>
          </w:tcPr>
          <w:p>
            <w:pPr>
              <w:spacing w:after="0"/>
              <w:rPr>
                <w:sz w:val="22"/>
                <w:szCs w:val="22"/>
                <w:color w:val="auto"/>
              </w:rPr>
            </w:pP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Michael E. Tenta</w:t>
            </w:r>
          </w:p>
        </w:tc>
        <w:tc>
          <w:tcPr>
            <w:tcW w:w="20" w:type="dxa"/>
            <w:vAlign w:val="bottom"/>
          </w:tcPr>
          <w:p>
            <w:pPr>
              <w:spacing w:after="0"/>
              <w:rPr>
                <w:sz w:val="22"/>
                <w:szCs w:val="22"/>
                <w:color w:val="auto"/>
              </w:rPr>
            </w:pPr>
          </w:p>
        </w:tc>
        <w:tc>
          <w:tcPr>
            <w:tcW w:w="20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Assistant Secretary</w:t>
            </w:r>
          </w:p>
        </w:tc>
        <w:tc>
          <w:tcPr>
            <w:tcW w:w="40" w:type="dxa"/>
            <w:vAlign w:val="bottom"/>
          </w:tcPr>
          <w:p>
            <w:pPr>
              <w:spacing w:after="0"/>
              <w:rPr>
                <w:sz w:val="22"/>
                <w:szCs w:val="22"/>
                <w:color w:val="auto"/>
              </w:rPr>
            </w:pPr>
          </w:p>
        </w:tc>
        <w:tc>
          <w:tcPr>
            <w:tcW w:w="1280" w:type="dxa"/>
            <w:vAlign w:val="bottom"/>
            <w:tcBorders>
              <w:top w:val="single" w:sz="8" w:color="2C2C2C"/>
              <w:bottom w:val="single" w:sz="8" w:color="808080"/>
            </w:tcBorders>
          </w:tcPr>
          <w:p>
            <w:pPr>
              <w:jc w:val="right"/>
              <w:ind w:right="152"/>
              <w:spacing w:after="0"/>
              <w:rPr>
                <w:sz w:val="20"/>
                <w:szCs w:val="20"/>
                <w:color w:val="auto"/>
              </w:rPr>
            </w:pPr>
            <w:r>
              <w:rPr>
                <w:rFonts w:ascii="Arial" w:cs="Arial" w:eastAsia="Arial" w:hAnsi="Arial"/>
                <w:sz w:val="22"/>
                <w:szCs w:val="22"/>
                <w:color w:val="auto"/>
                <w:w w:val="88"/>
              </w:rPr>
              <w:t>2009-11-12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42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4"/>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7"/>
    </w:lvl>
    <w:lvl w:ilvl="1">
      <w:lvlJc w:val="left"/>
      <w:lvlText w:val="X"/>
      <w:numFmt w:val="bullet"/>
      <w:start w:val="1"/>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2"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2019-12-11T03:32:14Z</dcterms:created>
  <dcterms:modified xsi:type="dcterms:W3CDTF">2019-12-11T03:32:14Z</dcterms:modified>
</cp:coreProperties>
</file>