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U.S. Securities and Exchange Commission on February 28, 2023</w:t>
      </w:r>
    </w:p>
    <w:p>
      <w:pPr>
        <w:spacing w:after="0" w:line="221"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line="221"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S-8</w:t>
      </w:r>
    </w:p>
    <w:p>
      <w:pPr>
        <w:jc w:val="center"/>
        <w:spacing w:after="0" w:line="221" w:lineRule="auto"/>
        <w:rPr>
          <w:sz w:val="20"/>
          <w:szCs w:val="20"/>
          <w:color w:val="auto"/>
        </w:rPr>
      </w:pPr>
      <w:r>
        <w:rPr>
          <w:rFonts w:ascii="Arial" w:cs="Arial" w:eastAsia="Arial" w:hAnsi="Arial"/>
          <w:sz w:val="29"/>
          <w:szCs w:val="29"/>
          <w:b w:val="1"/>
          <w:bCs w:val="1"/>
          <w:color w:val="auto"/>
        </w:rPr>
        <w:t>REGISTRATION STATEMENT</w:t>
      </w:r>
    </w:p>
    <w:p>
      <w:pPr>
        <w:jc w:val="center"/>
        <w:spacing w:after="0" w:line="205"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NGM BIOPHARMACEUTICALS,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p>
      <w:pPr>
        <w:spacing w:after="0" w:line="302" w:lineRule="exact"/>
        <w:rPr>
          <w:sz w:val="24"/>
          <w:szCs w:val="24"/>
          <w:color w:val="auto"/>
        </w:rPr>
      </w:pPr>
    </w:p>
    <w:p>
      <w:pPr>
        <w:ind w:left="2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26-1679911</w:t>
      </w:r>
    </w:p>
    <w:p>
      <w:pPr>
        <w:spacing w:after="0" w:line="37" w:lineRule="exact"/>
        <w:rPr>
          <w:sz w:val="24"/>
          <w:szCs w:val="24"/>
          <w:color w:val="auto"/>
        </w:rPr>
      </w:pPr>
    </w:p>
    <w:p>
      <w:pPr>
        <w:sectPr>
          <w:pgSz w:w="11900" w:h="16838" w:orient="portrait"/>
          <w:cols w:equalWidth="0" w:num="2">
            <w:col w:w="7080" w:space="720"/>
            <w:col w:w="3440"/>
          </w:cols>
          <w:pgMar w:left="320" w:top="1188" w:right="339" w:bottom="1440" w:gutter="0" w:footer="0" w:header="0"/>
          <w:type w:val="continuous"/>
        </w:sectPr>
      </w:pPr>
    </w:p>
    <w:p>
      <w:pPr>
        <w:ind w:left="1720"/>
        <w:spacing w:after="0"/>
        <w:rPr>
          <w:sz w:val="20"/>
          <w:szCs w:val="20"/>
          <w:color w:val="auto"/>
        </w:rPr>
      </w:pPr>
      <w:r>
        <w:rPr>
          <w:rFonts w:ascii="Arial" w:cs="Arial" w:eastAsia="Arial" w:hAnsi="Arial"/>
          <w:sz w:val="14"/>
          <w:szCs w:val="14"/>
          <w:b w:val="1"/>
          <w:bCs w:val="1"/>
          <w:color w:val="auto"/>
        </w:rPr>
        <w:t>(State or other jurisdiction of</w:t>
      </w:r>
    </w:p>
    <w:p>
      <w:pPr>
        <w:spacing w:after="0" w:line="6" w:lineRule="exact"/>
        <w:rPr>
          <w:sz w:val="24"/>
          <w:szCs w:val="24"/>
          <w:color w:val="auto"/>
        </w:rPr>
      </w:pPr>
    </w:p>
    <w:p>
      <w:pPr>
        <w:ind w:left="16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Arial" w:cs="Arial" w:eastAsia="Arial" w:hAnsi="Arial"/>
          <w:sz w:val="14"/>
          <w:szCs w:val="14"/>
          <w:b w:val="1"/>
          <w:bCs w:val="1"/>
          <w:color w:val="auto"/>
        </w:rPr>
        <w:t>(I.R.S. Employer</w:t>
      </w:r>
    </w:p>
    <w:p>
      <w:pPr>
        <w:spacing w:after="0" w:line="6" w:lineRule="exact"/>
        <w:rPr>
          <w:sz w:val="24"/>
          <w:szCs w:val="24"/>
          <w:color w:val="auto"/>
        </w:rPr>
      </w:pPr>
    </w:p>
    <w:p>
      <w:pPr>
        <w:jc w:val="center"/>
        <w:ind w:right="240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6900" w:space="720"/>
            <w:col w:w="3620"/>
          </w:cols>
          <w:pgMar w:left="320" w:top="1188" w:right="339" w:bottom="1440" w:gutter="0" w:footer="0" w:header="0"/>
          <w:type w:val="continuous"/>
        </w:sectPr>
      </w:pP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333 Oyster Point Boulevard</w:t>
      </w:r>
    </w:p>
    <w:p>
      <w:pPr>
        <w:jc w:val="center"/>
        <w:ind w:right="-19"/>
        <w:spacing w:after="0" w:line="211" w:lineRule="auto"/>
        <w:rPr>
          <w:sz w:val="20"/>
          <w:szCs w:val="20"/>
          <w:color w:val="auto"/>
        </w:rPr>
      </w:pPr>
      <w:r>
        <w:rPr>
          <w:rFonts w:ascii="Arial" w:cs="Arial" w:eastAsia="Arial" w:hAnsi="Arial"/>
          <w:sz w:val="16"/>
          <w:szCs w:val="16"/>
          <w:b w:val="1"/>
          <w:bCs w:val="1"/>
          <w:color w:val="auto"/>
        </w:rPr>
        <w:t>South San Francisco, California 94080</w:t>
      </w:r>
    </w:p>
    <w:p>
      <w:pPr>
        <w:jc w:val="center"/>
        <w:ind w:right="-19"/>
        <w:spacing w:after="0" w:line="215" w:lineRule="auto"/>
        <w:rPr>
          <w:sz w:val="20"/>
          <w:szCs w:val="20"/>
          <w:color w:val="auto"/>
        </w:rPr>
      </w:pPr>
      <w:r>
        <w:rPr>
          <w:rFonts w:ascii="Arial" w:cs="Arial" w:eastAsia="Arial" w:hAnsi="Arial"/>
          <w:sz w:val="16"/>
          <w:szCs w:val="16"/>
          <w:b w:val="1"/>
          <w:bCs w:val="1"/>
          <w:color w:val="auto"/>
        </w:rPr>
        <w:t>(650) 243-5555</w:t>
      </w: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240"/>
          </w:cols>
          <w:pgMar w:left="320" w:top="1188" w:right="339" w:bottom="1440" w:gutter="0" w:footer="0" w:header="0"/>
          <w:type w:val="continuous"/>
        </w:sectPr>
      </w:pP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NGM Biopharmaceuticals, Inc. Amended and Restated 2018 Equity Incentive Plan</w:t>
      </w:r>
    </w:p>
    <w:p>
      <w:pPr>
        <w:jc w:val="center"/>
        <w:spacing w:after="0" w:line="232" w:lineRule="auto"/>
        <w:rPr>
          <w:sz w:val="20"/>
          <w:szCs w:val="20"/>
          <w:color w:val="auto"/>
        </w:rPr>
      </w:pPr>
      <w:r>
        <w:rPr>
          <w:rFonts w:ascii="Arial" w:cs="Arial" w:eastAsia="Arial" w:hAnsi="Arial"/>
          <w:sz w:val="16"/>
          <w:szCs w:val="16"/>
          <w:b w:val="1"/>
          <w:bCs w:val="1"/>
          <w:color w:val="auto"/>
        </w:rPr>
        <w:t>NGM Biopharmaceuticals, Inc. 2019 Employee Stock Purchase Plan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David J. Woodhouse, Ph.D.</w:t>
      </w:r>
    </w:p>
    <w:p>
      <w:pPr>
        <w:jc w:val="center"/>
        <w:spacing w:after="0" w:line="211" w:lineRule="auto"/>
        <w:rPr>
          <w:sz w:val="20"/>
          <w:szCs w:val="20"/>
          <w:color w:val="auto"/>
        </w:rPr>
      </w:pPr>
      <w:r>
        <w:rPr>
          <w:rFonts w:ascii="Arial" w:cs="Arial" w:eastAsia="Arial" w:hAnsi="Arial"/>
          <w:sz w:val="16"/>
          <w:szCs w:val="16"/>
          <w:b w:val="1"/>
          <w:bCs w:val="1"/>
          <w:color w:val="auto"/>
        </w:rPr>
        <w:t>Chief Executive Officer</w:t>
      </w:r>
    </w:p>
    <w:p>
      <w:pPr>
        <w:jc w:val="center"/>
        <w:spacing w:after="0" w:line="211" w:lineRule="auto"/>
        <w:rPr>
          <w:sz w:val="20"/>
          <w:szCs w:val="20"/>
          <w:color w:val="auto"/>
        </w:rPr>
      </w:pPr>
      <w:r>
        <w:rPr>
          <w:rFonts w:ascii="Arial" w:cs="Arial" w:eastAsia="Arial" w:hAnsi="Arial"/>
          <w:sz w:val="16"/>
          <w:szCs w:val="16"/>
          <w:b w:val="1"/>
          <w:bCs w:val="1"/>
          <w:color w:val="auto"/>
        </w:rPr>
        <w:t>NGM Biopharmaceuticals, Inc.</w:t>
      </w:r>
    </w:p>
    <w:p>
      <w:pPr>
        <w:jc w:val="center"/>
        <w:spacing w:after="0" w:line="211" w:lineRule="auto"/>
        <w:rPr>
          <w:sz w:val="20"/>
          <w:szCs w:val="20"/>
          <w:color w:val="auto"/>
        </w:rPr>
      </w:pPr>
      <w:r>
        <w:rPr>
          <w:rFonts w:ascii="Arial" w:cs="Arial" w:eastAsia="Arial" w:hAnsi="Arial"/>
          <w:sz w:val="16"/>
          <w:szCs w:val="16"/>
          <w:b w:val="1"/>
          <w:bCs w:val="1"/>
          <w:color w:val="auto"/>
        </w:rPr>
        <w:t>333 Oyster Point Boulevard</w:t>
      </w:r>
    </w:p>
    <w:p>
      <w:pPr>
        <w:jc w:val="center"/>
        <w:spacing w:after="0" w:line="212" w:lineRule="auto"/>
        <w:rPr>
          <w:sz w:val="20"/>
          <w:szCs w:val="20"/>
          <w:color w:val="auto"/>
        </w:rPr>
      </w:pPr>
      <w:r>
        <w:rPr>
          <w:rFonts w:ascii="Arial" w:cs="Arial" w:eastAsia="Arial" w:hAnsi="Arial"/>
          <w:sz w:val="16"/>
          <w:szCs w:val="16"/>
          <w:b w:val="1"/>
          <w:bCs w:val="1"/>
          <w:color w:val="auto"/>
        </w:rPr>
        <w:t>South San Francisco, California 94080</w:t>
      </w:r>
    </w:p>
    <w:p>
      <w:pPr>
        <w:jc w:val="center"/>
        <w:spacing w:after="0" w:line="215" w:lineRule="auto"/>
        <w:rPr>
          <w:sz w:val="20"/>
          <w:szCs w:val="20"/>
          <w:color w:val="auto"/>
        </w:rPr>
      </w:pPr>
      <w:r>
        <w:rPr>
          <w:rFonts w:ascii="Arial" w:cs="Arial" w:eastAsia="Arial" w:hAnsi="Arial"/>
          <w:sz w:val="16"/>
          <w:szCs w:val="16"/>
          <w:b w:val="1"/>
          <w:bCs w:val="1"/>
          <w:color w:val="auto"/>
        </w:rPr>
        <w:t>(650) 243-5555</w:t>
      </w:r>
    </w:p>
    <w:p>
      <w:pPr>
        <w:jc w:val="center"/>
        <w:spacing w:after="0"/>
        <w:rPr>
          <w:sz w:val="20"/>
          <w:szCs w:val="20"/>
          <w:color w:val="auto"/>
        </w:rPr>
      </w:pPr>
      <w:r>
        <w:rPr>
          <w:rFonts w:ascii="Arial" w:cs="Arial" w:eastAsia="Arial" w:hAnsi="Arial"/>
          <w:sz w:val="14"/>
          <w:szCs w:val="14"/>
          <w:b w:val="1"/>
          <w:bCs w:val="1"/>
          <w:color w:val="auto"/>
        </w:rPr>
        <w:t>(Name and address of agent for service) (Telephone number, including area code, of agent for service)</w:t>
      </w:r>
    </w:p>
    <w:p>
      <w:pPr>
        <w:spacing w:after="0" w:line="100" w:lineRule="exact"/>
        <w:rPr>
          <w:sz w:val="24"/>
          <w:szCs w:val="24"/>
          <w:color w:val="auto"/>
        </w:rPr>
      </w:pPr>
    </w:p>
    <w:tbl>
      <w:tblPr>
        <w:tblLayout w:type="fixed"/>
        <w:tblInd w:w="94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4620" w:type="dxa"/>
            <w:vAlign w:val="bottom"/>
          </w:tcPr>
          <w:p>
            <w:pPr>
              <w:ind w:left="220"/>
              <w:spacing w:after="0"/>
              <w:rPr>
                <w:sz w:val="20"/>
                <w:szCs w:val="20"/>
                <w:color w:val="auto"/>
              </w:rPr>
            </w:pPr>
            <w:r>
              <w:rPr>
                <w:rFonts w:ascii="Arial" w:cs="Arial" w:eastAsia="Arial" w:hAnsi="Arial"/>
                <w:sz w:val="16"/>
                <w:szCs w:val="16"/>
                <w:b w:val="1"/>
                <w:bCs w:val="1"/>
                <w:i w:val="1"/>
                <w:iCs w:val="1"/>
                <w:color w:val="auto"/>
              </w:rPr>
              <w:t>Copies to:</w:t>
            </w:r>
          </w:p>
        </w:tc>
      </w:tr>
      <w:tr>
        <w:trPr>
          <w:trHeight w:val="216"/>
        </w:trPr>
        <w:tc>
          <w:tcPr>
            <w:tcW w:w="4060" w:type="dxa"/>
            <w:vAlign w:val="bottom"/>
          </w:tcPr>
          <w:p>
            <w:pPr>
              <w:jc w:val="center"/>
              <w:ind w:right="159"/>
              <w:spacing w:after="0"/>
              <w:rPr>
                <w:sz w:val="20"/>
                <w:szCs w:val="20"/>
                <w:color w:val="auto"/>
              </w:rPr>
            </w:pPr>
            <w:r>
              <w:rPr>
                <w:rFonts w:ascii="Arial" w:cs="Arial" w:eastAsia="Arial" w:hAnsi="Arial"/>
                <w:sz w:val="16"/>
                <w:szCs w:val="16"/>
                <w:b w:val="1"/>
                <w:bCs w:val="1"/>
                <w:color w:val="auto"/>
              </w:rPr>
              <w:t>Valerie Pierce</w:t>
            </w:r>
          </w:p>
        </w:tc>
        <w:tc>
          <w:tcPr>
            <w:tcW w:w="4620" w:type="dxa"/>
            <w:vAlign w:val="bottom"/>
          </w:tcPr>
          <w:p>
            <w:pPr>
              <w:jc w:val="center"/>
              <w:ind w:left="2099"/>
              <w:spacing w:after="0"/>
              <w:rPr>
                <w:sz w:val="20"/>
                <w:szCs w:val="20"/>
                <w:color w:val="auto"/>
              </w:rPr>
            </w:pPr>
            <w:r>
              <w:rPr>
                <w:rFonts w:ascii="Arial" w:cs="Arial" w:eastAsia="Arial" w:hAnsi="Arial"/>
                <w:sz w:val="16"/>
                <w:szCs w:val="16"/>
                <w:b w:val="1"/>
                <w:bCs w:val="1"/>
                <w:color w:val="auto"/>
              </w:rPr>
              <w:t>Chadwick L. Mills</w:t>
            </w:r>
          </w:p>
        </w:tc>
      </w:tr>
      <w:tr>
        <w:trPr>
          <w:trHeight w:val="216"/>
        </w:trPr>
        <w:tc>
          <w:tcPr>
            <w:tcW w:w="4060" w:type="dxa"/>
            <w:vAlign w:val="bottom"/>
          </w:tcPr>
          <w:p>
            <w:pPr>
              <w:jc w:val="center"/>
              <w:ind w:right="159"/>
              <w:spacing w:after="0"/>
              <w:rPr>
                <w:sz w:val="20"/>
                <w:szCs w:val="20"/>
                <w:color w:val="auto"/>
              </w:rPr>
            </w:pPr>
            <w:r>
              <w:rPr>
                <w:rFonts w:ascii="Arial" w:cs="Arial" w:eastAsia="Arial" w:hAnsi="Arial"/>
                <w:sz w:val="16"/>
                <w:szCs w:val="16"/>
                <w:b w:val="1"/>
                <w:bCs w:val="1"/>
                <w:color w:val="auto"/>
              </w:rPr>
              <w:t>Senior Vice President, General Counsel and Chief</w:t>
            </w:r>
          </w:p>
        </w:tc>
        <w:tc>
          <w:tcPr>
            <w:tcW w:w="4620" w:type="dxa"/>
            <w:vAlign w:val="bottom"/>
          </w:tcPr>
          <w:p>
            <w:pPr>
              <w:jc w:val="center"/>
              <w:ind w:left="2099"/>
              <w:spacing w:after="0"/>
              <w:rPr>
                <w:sz w:val="20"/>
                <w:szCs w:val="20"/>
                <w:color w:val="auto"/>
              </w:rPr>
            </w:pPr>
            <w:r>
              <w:rPr>
                <w:rFonts w:ascii="Arial" w:cs="Arial" w:eastAsia="Arial" w:hAnsi="Arial"/>
                <w:sz w:val="16"/>
                <w:szCs w:val="16"/>
                <w:b w:val="1"/>
                <w:bCs w:val="1"/>
                <w:color w:val="auto"/>
              </w:rPr>
              <w:t>Christina T. Roupas</w:t>
            </w:r>
          </w:p>
        </w:tc>
      </w:tr>
      <w:tr>
        <w:trPr>
          <w:trHeight w:val="216"/>
        </w:trPr>
        <w:tc>
          <w:tcPr>
            <w:tcW w:w="4060" w:type="dxa"/>
            <w:vAlign w:val="bottom"/>
          </w:tcPr>
          <w:p>
            <w:pPr>
              <w:jc w:val="center"/>
              <w:ind w:right="159"/>
              <w:spacing w:after="0"/>
              <w:rPr>
                <w:sz w:val="20"/>
                <w:szCs w:val="20"/>
                <w:color w:val="auto"/>
              </w:rPr>
            </w:pPr>
            <w:r>
              <w:rPr>
                <w:rFonts w:ascii="Arial" w:cs="Arial" w:eastAsia="Arial" w:hAnsi="Arial"/>
                <w:sz w:val="16"/>
                <w:szCs w:val="16"/>
                <w:b w:val="1"/>
                <w:bCs w:val="1"/>
                <w:color w:val="auto"/>
              </w:rPr>
              <w:t>Compliance Officer</w:t>
            </w:r>
          </w:p>
        </w:tc>
        <w:tc>
          <w:tcPr>
            <w:tcW w:w="4620" w:type="dxa"/>
            <w:vAlign w:val="bottom"/>
          </w:tcPr>
          <w:p>
            <w:pPr>
              <w:jc w:val="center"/>
              <w:ind w:left="2099"/>
              <w:spacing w:after="0"/>
              <w:rPr>
                <w:sz w:val="20"/>
                <w:szCs w:val="20"/>
                <w:color w:val="auto"/>
              </w:rPr>
            </w:pPr>
            <w:r>
              <w:rPr>
                <w:rFonts w:ascii="Arial" w:cs="Arial" w:eastAsia="Arial" w:hAnsi="Arial"/>
                <w:sz w:val="16"/>
                <w:szCs w:val="16"/>
                <w:b w:val="1"/>
                <w:bCs w:val="1"/>
                <w:color w:val="auto"/>
                <w:w w:val="99"/>
              </w:rPr>
              <w:t>Cooley LLP</w:t>
            </w:r>
          </w:p>
        </w:tc>
      </w:tr>
      <w:tr>
        <w:trPr>
          <w:trHeight w:val="216"/>
        </w:trPr>
        <w:tc>
          <w:tcPr>
            <w:tcW w:w="4060" w:type="dxa"/>
            <w:vAlign w:val="bottom"/>
          </w:tcPr>
          <w:p>
            <w:pPr>
              <w:jc w:val="center"/>
              <w:ind w:right="159"/>
              <w:spacing w:after="0"/>
              <w:rPr>
                <w:sz w:val="20"/>
                <w:szCs w:val="20"/>
                <w:color w:val="auto"/>
              </w:rPr>
            </w:pPr>
            <w:r>
              <w:rPr>
                <w:rFonts w:ascii="Arial" w:cs="Arial" w:eastAsia="Arial" w:hAnsi="Arial"/>
                <w:sz w:val="16"/>
                <w:szCs w:val="16"/>
                <w:b w:val="1"/>
                <w:bCs w:val="1"/>
                <w:color w:val="auto"/>
              </w:rPr>
              <w:t>NGM Biopharmaceuticals, Inc.</w:t>
            </w:r>
          </w:p>
        </w:tc>
        <w:tc>
          <w:tcPr>
            <w:tcW w:w="4620" w:type="dxa"/>
            <w:vAlign w:val="bottom"/>
          </w:tcPr>
          <w:p>
            <w:pPr>
              <w:jc w:val="center"/>
              <w:ind w:left="2099"/>
              <w:spacing w:after="0"/>
              <w:rPr>
                <w:sz w:val="20"/>
                <w:szCs w:val="20"/>
                <w:color w:val="auto"/>
              </w:rPr>
            </w:pPr>
            <w:r>
              <w:rPr>
                <w:rFonts w:ascii="Arial" w:cs="Arial" w:eastAsia="Arial" w:hAnsi="Arial"/>
                <w:sz w:val="16"/>
                <w:szCs w:val="16"/>
                <w:b w:val="1"/>
                <w:bCs w:val="1"/>
                <w:color w:val="auto"/>
              </w:rPr>
              <w:t>3 Embarcadero Center</w:t>
            </w:r>
          </w:p>
        </w:tc>
      </w:tr>
      <w:tr>
        <w:trPr>
          <w:trHeight w:val="216"/>
        </w:trPr>
        <w:tc>
          <w:tcPr>
            <w:tcW w:w="4060" w:type="dxa"/>
            <w:vAlign w:val="bottom"/>
          </w:tcPr>
          <w:p>
            <w:pPr>
              <w:jc w:val="center"/>
              <w:ind w:right="159"/>
              <w:spacing w:after="0"/>
              <w:rPr>
                <w:sz w:val="20"/>
                <w:szCs w:val="20"/>
                <w:color w:val="auto"/>
              </w:rPr>
            </w:pPr>
            <w:r>
              <w:rPr>
                <w:rFonts w:ascii="Arial" w:cs="Arial" w:eastAsia="Arial" w:hAnsi="Arial"/>
                <w:sz w:val="16"/>
                <w:szCs w:val="16"/>
                <w:b w:val="1"/>
                <w:bCs w:val="1"/>
                <w:color w:val="auto"/>
              </w:rPr>
              <w:t>333 Oyster Point Boulevard</w:t>
            </w:r>
          </w:p>
        </w:tc>
        <w:tc>
          <w:tcPr>
            <w:tcW w:w="4620" w:type="dxa"/>
            <w:vAlign w:val="bottom"/>
          </w:tcPr>
          <w:p>
            <w:pPr>
              <w:jc w:val="center"/>
              <w:ind w:left="2079"/>
              <w:spacing w:after="0"/>
              <w:rPr>
                <w:sz w:val="20"/>
                <w:szCs w:val="20"/>
                <w:color w:val="auto"/>
              </w:rPr>
            </w:pPr>
            <w:r>
              <w:rPr>
                <w:rFonts w:ascii="Arial" w:cs="Arial" w:eastAsia="Arial" w:hAnsi="Arial"/>
                <w:sz w:val="16"/>
                <w:szCs w:val="16"/>
                <w:b w:val="1"/>
                <w:bCs w:val="1"/>
                <w:color w:val="auto"/>
              </w:rPr>
              <w:t>20th Floor</w:t>
            </w:r>
          </w:p>
        </w:tc>
      </w:tr>
      <w:tr>
        <w:trPr>
          <w:trHeight w:val="216"/>
        </w:trPr>
        <w:tc>
          <w:tcPr>
            <w:tcW w:w="4060" w:type="dxa"/>
            <w:vAlign w:val="bottom"/>
          </w:tcPr>
          <w:p>
            <w:pPr>
              <w:jc w:val="center"/>
              <w:ind w:right="159"/>
              <w:spacing w:after="0"/>
              <w:rPr>
                <w:sz w:val="20"/>
                <w:szCs w:val="20"/>
                <w:color w:val="auto"/>
              </w:rPr>
            </w:pPr>
            <w:r>
              <w:rPr>
                <w:rFonts w:ascii="Arial" w:cs="Arial" w:eastAsia="Arial" w:hAnsi="Arial"/>
                <w:sz w:val="16"/>
                <w:szCs w:val="16"/>
                <w:b w:val="1"/>
                <w:bCs w:val="1"/>
                <w:color w:val="auto"/>
              </w:rPr>
              <w:t>South San Francisco, California 94080</w:t>
            </w:r>
          </w:p>
        </w:tc>
        <w:tc>
          <w:tcPr>
            <w:tcW w:w="4620" w:type="dxa"/>
            <w:vAlign w:val="bottom"/>
          </w:tcPr>
          <w:p>
            <w:pPr>
              <w:jc w:val="center"/>
              <w:ind w:left="2099"/>
              <w:spacing w:after="0"/>
              <w:rPr>
                <w:sz w:val="20"/>
                <w:szCs w:val="20"/>
                <w:color w:val="auto"/>
              </w:rPr>
            </w:pPr>
            <w:r>
              <w:rPr>
                <w:rFonts w:ascii="Arial" w:cs="Arial" w:eastAsia="Arial" w:hAnsi="Arial"/>
                <w:sz w:val="16"/>
                <w:szCs w:val="16"/>
                <w:b w:val="1"/>
                <w:bCs w:val="1"/>
                <w:color w:val="auto"/>
              </w:rPr>
              <w:t>San Francisco, California 94111</w:t>
            </w:r>
          </w:p>
        </w:tc>
      </w:tr>
      <w:tr>
        <w:trPr>
          <w:trHeight w:val="216"/>
        </w:trPr>
        <w:tc>
          <w:tcPr>
            <w:tcW w:w="4060" w:type="dxa"/>
            <w:vAlign w:val="bottom"/>
          </w:tcPr>
          <w:p>
            <w:pPr>
              <w:jc w:val="center"/>
              <w:ind w:right="159"/>
              <w:spacing w:after="0"/>
              <w:rPr>
                <w:sz w:val="20"/>
                <w:szCs w:val="20"/>
                <w:color w:val="auto"/>
              </w:rPr>
            </w:pPr>
            <w:r>
              <w:rPr>
                <w:rFonts w:ascii="Arial" w:cs="Arial" w:eastAsia="Arial" w:hAnsi="Arial"/>
                <w:sz w:val="16"/>
                <w:szCs w:val="16"/>
                <w:b w:val="1"/>
                <w:bCs w:val="1"/>
                <w:color w:val="auto"/>
              </w:rPr>
              <w:t>(650) 243-5555</w:t>
            </w:r>
          </w:p>
        </w:tc>
        <w:tc>
          <w:tcPr>
            <w:tcW w:w="4620" w:type="dxa"/>
            <w:vAlign w:val="bottom"/>
          </w:tcPr>
          <w:p>
            <w:pPr>
              <w:jc w:val="center"/>
              <w:ind w:left="2099"/>
              <w:spacing w:after="0"/>
              <w:rPr>
                <w:sz w:val="20"/>
                <w:szCs w:val="20"/>
                <w:color w:val="auto"/>
              </w:rPr>
            </w:pPr>
            <w:r>
              <w:rPr>
                <w:rFonts w:ascii="Arial" w:cs="Arial" w:eastAsia="Arial" w:hAnsi="Arial"/>
                <w:sz w:val="16"/>
                <w:szCs w:val="16"/>
                <w:b w:val="1"/>
                <w:bCs w:val="1"/>
                <w:color w:val="auto"/>
              </w:rPr>
              <w:t>(415) 693-2000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ind w:right="20"/>
        <w:spacing w:after="0" w:line="2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284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284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8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5220" w:type="dxa"/>
            <w:vAlign w:val="bottom"/>
          </w:tcPr>
          <w:p>
            <w:pPr>
              <w:ind w:left="284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4"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240"/>
          </w:cols>
          <w:pgMar w:left="320" w:top="118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58" w:lineRule="exact"/>
        <w:rPr>
          <w:sz w:val="20"/>
          <w:szCs w:val="20"/>
          <w:color w:val="auto"/>
        </w:rPr>
      </w:pPr>
    </w:p>
    <w:p>
      <w:pPr>
        <w:jc w:val="both"/>
        <w:ind w:firstLine="648"/>
        <w:spacing w:after="0" w:line="255" w:lineRule="auto"/>
        <w:rPr>
          <w:rFonts w:ascii="Arial" w:cs="Arial" w:eastAsia="Arial" w:hAnsi="Arial"/>
          <w:sz w:val="18"/>
          <w:szCs w:val="18"/>
          <w:color w:val="000000"/>
        </w:rPr>
      </w:pPr>
      <w:r>
        <w:rPr>
          <w:rFonts w:ascii="Arial" w:cs="Arial" w:eastAsia="Arial" w:hAnsi="Arial"/>
          <w:sz w:val="18"/>
          <w:szCs w:val="18"/>
          <w:color w:val="auto"/>
        </w:rPr>
        <w:t xml:space="preserve">NGM </w:t>
      </w:r>
      <w:r>
        <w:rPr>
          <w:rFonts w:ascii="Arial" w:cs="Arial" w:eastAsia="Arial" w:hAnsi="Arial"/>
          <w:sz w:val="18"/>
          <w:szCs w:val="18"/>
          <w:color w:val="010202"/>
        </w:rPr>
        <w:t>Biopharmaceuticals, Inc. (the “</w:t>
      </w:r>
      <w:r>
        <w:rPr>
          <w:rFonts w:ascii="Arial" w:cs="Arial" w:eastAsia="Arial" w:hAnsi="Arial"/>
          <w:sz w:val="18"/>
          <w:szCs w:val="18"/>
          <w:b w:val="1"/>
          <w:bCs w:val="1"/>
          <w:i w:val="1"/>
          <w:iCs w:val="1"/>
          <w:color w:val="010202"/>
        </w:rPr>
        <w:t>Registrant</w:t>
      </w:r>
      <w:r>
        <w:rPr>
          <w:rFonts w:ascii="Arial" w:cs="Arial" w:eastAsia="Arial" w:hAnsi="Arial"/>
          <w:sz w:val="18"/>
          <w:szCs w:val="18"/>
          <w:color w:val="010202"/>
        </w:rPr>
        <w:t>”) is filing this Registration Statement on Form S-8 for the purpose of registering an</w:t>
      </w:r>
      <w:r>
        <w:rPr>
          <w:rFonts w:ascii="Arial" w:cs="Arial" w:eastAsia="Arial" w:hAnsi="Arial"/>
          <w:sz w:val="18"/>
          <w:szCs w:val="18"/>
          <w:color w:val="auto"/>
        </w:rPr>
        <w:t xml:space="preserve"> </w:t>
      </w:r>
      <w:r>
        <w:rPr>
          <w:rFonts w:ascii="Arial" w:cs="Arial" w:eastAsia="Arial" w:hAnsi="Arial"/>
          <w:sz w:val="18"/>
          <w:szCs w:val="18"/>
          <w:color w:val="010202"/>
        </w:rPr>
        <w:t>additional 4,094,270 shares of common stock, par value $0.001 per share (the “</w:t>
      </w:r>
      <w:r>
        <w:rPr>
          <w:rFonts w:ascii="Arial" w:cs="Arial" w:eastAsia="Arial" w:hAnsi="Arial"/>
          <w:sz w:val="18"/>
          <w:szCs w:val="18"/>
          <w:b w:val="1"/>
          <w:bCs w:val="1"/>
          <w:i w:val="1"/>
          <w:iCs w:val="1"/>
          <w:color w:val="010202"/>
        </w:rPr>
        <w:t>Common Stock</w:t>
      </w:r>
      <w:r>
        <w:rPr>
          <w:rFonts w:ascii="Arial" w:cs="Arial" w:eastAsia="Arial" w:hAnsi="Arial"/>
          <w:sz w:val="18"/>
          <w:szCs w:val="18"/>
          <w:color w:val="010202"/>
        </w:rPr>
        <w:t>”) consisting of 3,275,416 shares of Common Stock to be issued pursuant to the Registrant’s Amended and Restated 2018 Equity Incentive Plan (the “</w:t>
      </w:r>
      <w:r>
        <w:rPr>
          <w:rFonts w:ascii="Arial" w:cs="Arial" w:eastAsia="Arial" w:hAnsi="Arial"/>
          <w:sz w:val="18"/>
          <w:szCs w:val="18"/>
          <w:b w:val="1"/>
          <w:bCs w:val="1"/>
          <w:i w:val="1"/>
          <w:iCs w:val="1"/>
          <w:color w:val="010202"/>
        </w:rPr>
        <w:t>Restated 2018 Plan</w:t>
      </w:r>
      <w:r>
        <w:rPr>
          <w:rFonts w:ascii="Arial" w:cs="Arial" w:eastAsia="Arial" w:hAnsi="Arial"/>
          <w:sz w:val="18"/>
          <w:szCs w:val="18"/>
          <w:color w:val="010202"/>
        </w:rPr>
        <w:t>”) and 818,854 shares of Common Stock to be issued pursuant to the Registrant’s 2019 Employee Stock Purchase Plan (the “</w:t>
      </w:r>
      <w:r>
        <w:rPr>
          <w:rFonts w:ascii="Arial" w:cs="Arial" w:eastAsia="Arial" w:hAnsi="Arial"/>
          <w:sz w:val="18"/>
          <w:szCs w:val="18"/>
          <w:b w:val="1"/>
          <w:bCs w:val="1"/>
          <w:i w:val="1"/>
          <w:iCs w:val="1"/>
          <w:color w:val="010202"/>
        </w:rPr>
        <w:t>ESPP</w:t>
      </w:r>
      <w:r>
        <w:rPr>
          <w:rFonts w:ascii="Arial" w:cs="Arial" w:eastAsia="Arial" w:hAnsi="Arial"/>
          <w:sz w:val="18"/>
          <w:szCs w:val="18"/>
          <w:color w:val="010202"/>
        </w:rPr>
        <w:t xml:space="preserve">”). </w:t>
      </w:r>
      <w:r>
        <w:rPr>
          <w:rFonts w:ascii="Arial" w:cs="Arial" w:eastAsia="Arial" w:hAnsi="Arial"/>
          <w:sz w:val="18"/>
          <w:szCs w:val="18"/>
          <w:color w:val="000000"/>
        </w:rPr>
        <w:t>The</w:t>
      </w:r>
      <w:r>
        <w:rPr>
          <w:rFonts w:ascii="Arial" w:cs="Arial" w:eastAsia="Arial" w:hAnsi="Arial"/>
          <w:sz w:val="18"/>
          <w:szCs w:val="18"/>
          <w:color w:val="010202"/>
        </w:rPr>
        <w:t xml:space="preserve"> </w:t>
      </w:r>
      <w:r>
        <w:rPr>
          <w:rFonts w:ascii="Arial" w:cs="Arial" w:eastAsia="Arial" w:hAnsi="Arial"/>
          <w:sz w:val="18"/>
          <w:szCs w:val="18"/>
          <w:color w:val="000000"/>
        </w:rPr>
        <w:t>Registrant previously registered shares of its Common Stock for issuance under the Restated 2018 Plan and ESPP pursuant to the Registrant’s Registration Statement on Form S-8 filed with the Securities and Exchange Commission (the “</w:t>
      </w:r>
      <w:r>
        <w:rPr>
          <w:rFonts w:ascii="Arial" w:cs="Arial" w:eastAsia="Arial" w:hAnsi="Arial"/>
          <w:sz w:val="18"/>
          <w:szCs w:val="18"/>
          <w:b w:val="1"/>
          <w:bCs w:val="1"/>
          <w:i w:val="1"/>
          <w:iCs w:val="1"/>
          <w:color w:val="000000"/>
        </w:rPr>
        <w:t>SEC</w:t>
      </w:r>
      <w:r>
        <w:rPr>
          <w:rFonts w:ascii="Arial" w:cs="Arial" w:eastAsia="Arial" w:hAnsi="Arial"/>
          <w:sz w:val="18"/>
          <w:szCs w:val="18"/>
          <w:color w:val="000000"/>
        </w:rPr>
        <w:t xml:space="preserve">”) on April 4, 2019 (File No. </w:t>
      </w:r>
      <w:hyperlink r:id="rId14">
        <w:r>
          <w:rPr>
            <w:rFonts w:ascii="Arial" w:cs="Arial" w:eastAsia="Arial" w:hAnsi="Arial"/>
            <w:sz w:val="18"/>
            <w:szCs w:val="18"/>
            <w:u w:val="single" w:color="auto"/>
            <w:color w:val="0000FF"/>
          </w:rPr>
          <w:t>333-230725</w:t>
        </w:r>
      </w:hyperlink>
      <w:r>
        <w:rPr>
          <w:rFonts w:ascii="Arial" w:cs="Arial" w:eastAsia="Arial" w:hAnsi="Arial"/>
          <w:sz w:val="18"/>
          <w:szCs w:val="18"/>
          <w:color w:val="000000"/>
        </w:rPr>
        <w:t xml:space="preserve">). In addition, the Registrant registered shares of its Common Stock for Issuance under the Restated 2018 Plan pursuant to the Registrant’s Registration Statements on Form S-8 filed with the SEC on March 17, 2020 (File No. </w:t>
      </w:r>
      <w:hyperlink r:id="rId15">
        <w:r>
          <w:rPr>
            <w:rFonts w:ascii="Arial" w:cs="Arial" w:eastAsia="Arial" w:hAnsi="Arial"/>
            <w:sz w:val="18"/>
            <w:szCs w:val="18"/>
            <w:u w:val="single" w:color="auto"/>
            <w:color w:val="0000FF"/>
          </w:rPr>
          <w:t>333-237243</w:t>
        </w:r>
      </w:hyperlink>
      <w:r>
        <w:rPr>
          <w:rFonts w:ascii="Arial" w:cs="Arial" w:eastAsia="Arial" w:hAnsi="Arial"/>
          <w:sz w:val="18"/>
          <w:szCs w:val="18"/>
          <w:color w:val="000000"/>
        </w:rPr>
        <w:t xml:space="preserve">), March 15, 2021 (File No. </w:t>
      </w:r>
      <w:hyperlink r:id="rId16">
        <w:r>
          <w:rPr>
            <w:rFonts w:ascii="Arial" w:cs="Arial" w:eastAsia="Arial" w:hAnsi="Arial"/>
            <w:sz w:val="18"/>
            <w:szCs w:val="18"/>
            <w:u w:val="single" w:color="auto"/>
            <w:color w:val="0000FF"/>
          </w:rPr>
          <w:t>333-254295</w:t>
        </w:r>
      </w:hyperlink>
      <w:r>
        <w:rPr>
          <w:rFonts w:ascii="Arial" w:cs="Arial" w:eastAsia="Arial" w:hAnsi="Arial"/>
          <w:sz w:val="18"/>
          <w:szCs w:val="18"/>
          <w:color w:val="000000"/>
        </w:rPr>
        <w:t xml:space="preserve">) and March 1, 2022 (File No. </w:t>
      </w:r>
      <w:hyperlink r:id="rId17">
        <w:r>
          <w:rPr>
            <w:rFonts w:ascii="Arial" w:cs="Arial" w:eastAsia="Arial" w:hAnsi="Arial"/>
            <w:sz w:val="18"/>
            <w:szCs w:val="18"/>
            <w:u w:val="single" w:color="auto"/>
            <w:color w:val="0000FF"/>
          </w:rPr>
          <w:t>333-263155</w:t>
        </w:r>
      </w:hyperlink>
      <w:r>
        <w:rPr>
          <w:rFonts w:ascii="Arial" w:cs="Arial" w:eastAsia="Arial" w:hAnsi="Arial"/>
          <w:sz w:val="18"/>
          <w:szCs w:val="18"/>
          <w:color w:val="000000"/>
        </w:rPr>
        <w:t>) (together, the “</w:t>
      </w:r>
      <w:r>
        <w:rPr>
          <w:rFonts w:ascii="Arial" w:cs="Arial" w:eastAsia="Arial" w:hAnsi="Arial"/>
          <w:sz w:val="18"/>
          <w:szCs w:val="18"/>
          <w:b w:val="1"/>
          <w:bCs w:val="1"/>
          <w:i w:val="1"/>
          <w:iCs w:val="1"/>
          <w:color w:val="000000"/>
        </w:rPr>
        <w:t>Prior Registration Statements</w:t>
      </w:r>
      <w:r>
        <w:rPr>
          <w:rFonts w:ascii="Arial" w:cs="Arial" w:eastAsia="Arial" w:hAnsi="Arial"/>
          <w:sz w:val="18"/>
          <w:szCs w:val="18"/>
          <w:color w:val="000000"/>
        </w:rPr>
        <w:t>”).</w:t>
      </w:r>
    </w:p>
    <w:p>
      <w:pPr>
        <w:spacing w:after="0" w:line="95" w:lineRule="exact"/>
        <w:rPr>
          <w:rFonts w:ascii="Arial" w:cs="Arial" w:eastAsia="Arial" w:hAnsi="Arial"/>
          <w:sz w:val="18"/>
          <w:szCs w:val="18"/>
          <w:color w:val="000000"/>
        </w:rPr>
      </w:pPr>
    </w:p>
    <w:p>
      <w:pPr>
        <w:jc w:val="both"/>
        <w:ind w:firstLine="648"/>
        <w:spacing w:after="0" w:line="254" w:lineRule="auto"/>
        <w:rPr>
          <w:sz w:val="20"/>
          <w:szCs w:val="20"/>
          <w:color w:val="auto"/>
        </w:rPr>
      </w:pPr>
      <w:r>
        <w:rPr>
          <w:rFonts w:ascii="Arial" w:cs="Arial" w:eastAsia="Arial" w:hAnsi="Arial"/>
          <w:sz w:val="18"/>
          <w:szCs w:val="18"/>
          <w:color w:val="auto"/>
        </w:rPr>
        <w:t>This Registration Statement relates to securities of the same class as that to which the Prior Registration Statements relate and is submitted in accordance with General Instruction E to Form S-8 regarding Registration of Additional Securities. Pursuant to General Instruction E of Form S-8, the contents of the Prior Registration Statements are incorporated herein by reference and made part of this Registration Statement, except as amended hereby.</w:t>
      </w:r>
    </w:p>
    <w:p>
      <w:pPr>
        <w:sectPr>
          <w:pgSz w:w="11900" w:h="16838" w:orient="portrait"/>
          <w:cols w:equalWidth="0" w:num="1">
            <w:col w:w="11240"/>
          </w:cols>
          <w:pgMar w:left="320" w:top="1305"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2580" w:firstLine="3233"/>
        <w:spacing w:after="0" w:line="388" w:lineRule="auto"/>
        <w:rPr>
          <w:sz w:val="20"/>
          <w:szCs w:val="20"/>
          <w:color w:val="auto"/>
        </w:rPr>
      </w:pPr>
      <w:r>
        <w:rPr>
          <w:rFonts w:ascii="Arial" w:cs="Arial" w:eastAsia="Arial" w:hAnsi="Arial"/>
          <w:sz w:val="18"/>
          <w:szCs w:val="18"/>
          <w:b w:val="1"/>
          <w:bCs w:val="1"/>
          <w:color w:val="auto"/>
        </w:rPr>
        <w:t>INFORMATION REQUIRED IN THE REGISTRATION STATEMENT Item 3. Incorporation of Documents by Reference.</w:t>
      </w:r>
    </w:p>
    <w:p>
      <w:pPr>
        <w:spacing w:after="0" w:line="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Securities and Exchange Commission (the “SEC”) allows us to incorporate by reference the information we file with them, which means that we can disclose important information to you by referring you to those documents. The information incorporated by reference is considered to be part of this Registration Statement, and later information filed with the SEC will update and supersede this information. We hereby incorporate by reference into this Registration Statement the following documents previously filed with the SEC:</w:t>
      </w:r>
    </w:p>
    <w:p>
      <w:pPr>
        <w:spacing w:after="0" w:line="100" w:lineRule="exact"/>
        <w:rPr>
          <w:sz w:val="20"/>
          <w:szCs w:val="20"/>
          <w:color w:val="auto"/>
        </w:rPr>
      </w:pPr>
    </w:p>
    <w:p>
      <w:pPr>
        <w:ind w:left="900" w:hanging="568"/>
        <w:spacing w:after="0"/>
        <w:tabs>
          <w:tab w:leader="none" w:pos="900" w:val="left"/>
        </w:tabs>
        <w:numPr>
          <w:ilvl w:val="0"/>
          <w:numId w:val="1"/>
        </w:numPr>
        <w:rPr>
          <w:rFonts w:ascii="Arial" w:cs="Arial" w:eastAsia="Arial" w:hAnsi="Arial"/>
          <w:sz w:val="18"/>
          <w:szCs w:val="18"/>
          <w:color w:val="0000FF"/>
        </w:rPr>
      </w:pPr>
      <w:hyperlink r:id="rId18">
        <w:r>
          <w:rPr>
            <w:rFonts w:ascii="Arial" w:cs="Arial" w:eastAsia="Arial" w:hAnsi="Arial"/>
            <w:sz w:val="18"/>
            <w:szCs w:val="18"/>
            <w:u w:val="single" w:color="auto"/>
            <w:color w:val="0000FF"/>
          </w:rPr>
          <w:t>The Registrant’s Annual Report on Form 10-K for the year ended December 31, 2022, filed with the SEC on February 28, 2023</w:t>
        </w:r>
      </w:hyperlink>
      <w:r>
        <w:rPr>
          <w:rFonts w:ascii="Arial" w:cs="Arial" w:eastAsia="Arial" w:hAnsi="Arial"/>
          <w:sz w:val="18"/>
          <w:szCs w:val="18"/>
          <w:color w:val="000000"/>
        </w:rPr>
        <w:t>.</w:t>
      </w:r>
    </w:p>
    <w:p>
      <w:pPr>
        <w:spacing w:after="0" w:line="93" w:lineRule="exact"/>
        <w:rPr>
          <w:rFonts w:ascii="Arial" w:cs="Arial" w:eastAsia="Arial" w:hAnsi="Arial"/>
          <w:sz w:val="18"/>
          <w:szCs w:val="18"/>
          <w:color w:val="0000FF"/>
        </w:rPr>
      </w:pPr>
    </w:p>
    <w:p>
      <w:pPr>
        <w:ind w:left="660" w:right="20" w:hanging="328"/>
        <w:spacing w:after="0" w:line="237" w:lineRule="auto"/>
        <w:tabs>
          <w:tab w:leader="none" w:pos="655" w:val="left"/>
        </w:tabs>
        <w:numPr>
          <w:ilvl w:val="0"/>
          <w:numId w:val="1"/>
        </w:numPr>
        <w:rPr>
          <w:rFonts w:ascii="Arial" w:cs="Arial" w:eastAsia="Arial" w:hAnsi="Arial"/>
          <w:sz w:val="18"/>
          <w:szCs w:val="18"/>
          <w:color w:val="0000FF"/>
        </w:rPr>
      </w:pPr>
      <w:hyperlink r:id="rId19">
        <w:r>
          <w:rPr>
            <w:rFonts w:ascii="Arial" w:cs="Arial" w:eastAsia="Arial" w:hAnsi="Arial"/>
            <w:sz w:val="18"/>
            <w:szCs w:val="18"/>
            <w:color w:val="auto"/>
          </w:rPr>
          <w:t xml:space="preserve">The description of the Registrant’s Common Stock contained in a </w:t>
        </w:r>
        <w:r>
          <w:rPr>
            <w:rFonts w:ascii="Arial" w:cs="Arial" w:eastAsia="Arial" w:hAnsi="Arial"/>
            <w:sz w:val="18"/>
            <w:szCs w:val="18"/>
            <w:u w:val="single" w:color="auto"/>
            <w:color w:val="0000FF"/>
          </w:rPr>
          <w:t>Registration Statement on Form 8-A filed with the SEC on March</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FF"/>
          </w:rPr>
          <w:t>29, 2019</w:t>
        </w:r>
        <w:r>
          <w:rPr>
            <w:rFonts w:ascii="Arial" w:cs="Arial" w:eastAsia="Arial" w:hAnsi="Arial"/>
            <w:sz w:val="18"/>
            <w:szCs w:val="18"/>
            <w:color w:val="000000"/>
          </w:rPr>
          <w:t>, together with any amendment or report thereto filed with the Commission for the purpose of updating such description,</w:t>
        </w:r>
      </w:hyperlink>
      <w:r>
        <w:rPr>
          <w:rFonts w:ascii="Arial" w:cs="Arial" w:eastAsia="Arial" w:hAnsi="Arial"/>
          <w:sz w:val="18"/>
          <w:szCs w:val="18"/>
          <w:color w:val="0000FF"/>
        </w:rPr>
        <w:t xml:space="preserve"> </w:t>
      </w:r>
      <w:hyperlink r:id="rId20">
        <w:r>
          <w:rPr>
            <w:rFonts w:ascii="Arial" w:cs="Arial" w:eastAsia="Arial" w:hAnsi="Arial"/>
            <w:sz w:val="18"/>
            <w:szCs w:val="18"/>
            <w:color w:val="000000"/>
          </w:rPr>
          <w:t xml:space="preserve">including </w:t>
        </w:r>
        <w:r>
          <w:rPr>
            <w:rFonts w:ascii="Arial" w:cs="Arial" w:eastAsia="Arial" w:hAnsi="Arial"/>
            <w:sz w:val="18"/>
            <w:szCs w:val="18"/>
            <w:u w:val="single" w:color="auto"/>
            <w:color w:val="0000FF"/>
          </w:rPr>
          <w:t>Exhibit 4.3 to the Registrant’s Annual Report on Form 10-K for the fiscal year ended December 31, 2019, filed with the SEC</w:t>
        </w:r>
      </w:hyperlink>
      <w:r>
        <w:rPr>
          <w:rFonts w:ascii="Arial" w:cs="Arial" w:eastAsia="Arial" w:hAnsi="Arial"/>
          <w:sz w:val="18"/>
          <w:szCs w:val="18"/>
          <w:color w:val="000000"/>
        </w:rPr>
        <w:t xml:space="preserve"> </w:t>
      </w:r>
      <w:hyperlink r:id="rId20">
        <w:r>
          <w:rPr>
            <w:rFonts w:ascii="Arial" w:cs="Arial" w:eastAsia="Arial" w:hAnsi="Arial"/>
            <w:sz w:val="18"/>
            <w:szCs w:val="18"/>
            <w:u w:val="single" w:color="auto"/>
            <w:color w:val="0000FF"/>
          </w:rPr>
          <w:t>on March 17, 2020</w:t>
        </w:r>
        <w:r>
          <w:rPr>
            <w:rFonts w:ascii="Arial" w:cs="Arial" w:eastAsia="Arial" w:hAnsi="Arial"/>
            <w:sz w:val="18"/>
            <w:szCs w:val="18"/>
            <w:color w:val="000000"/>
          </w:rPr>
          <w:t>.</w:t>
        </w:r>
      </w:hyperlink>
    </w:p>
    <w:p>
      <w:pPr>
        <w:spacing w:after="0" w:line="109" w:lineRule="exact"/>
        <w:rPr>
          <w:rFonts w:ascii="Arial" w:cs="Arial" w:eastAsia="Arial" w:hAnsi="Arial"/>
          <w:sz w:val="18"/>
          <w:szCs w:val="18"/>
          <w:color w:val="0000FF"/>
        </w:rPr>
      </w:pPr>
    </w:p>
    <w:p>
      <w:pPr>
        <w:jc w:val="both"/>
        <w:ind w:firstLine="648"/>
        <w:spacing w:after="0" w:line="251" w:lineRule="auto"/>
        <w:rPr>
          <w:sz w:val="20"/>
          <w:szCs w:val="20"/>
          <w:color w:val="auto"/>
        </w:rPr>
      </w:pPr>
      <w:r>
        <w:rPr>
          <w:rFonts w:ascii="Arial" w:cs="Arial" w:eastAsia="Arial" w:hAnsi="Arial"/>
          <w:sz w:val="18"/>
          <w:szCs w:val="18"/>
          <w:color w:val="auto"/>
        </w:rPr>
        <w:t>All documents that the Registrant subsequently files pursuant to Sections 13(a), 13(c), 14 and 15(d) of the Securities Exchange Act of 1934 prior to the filing of a post-effective amendment to the Registration Statement which indicates that all of the securities offered have been sold or which deregisters all such securities then remaining unsold, shall be deemed to be incorporated by reference in this Registration Statement and to be a part hereof from the date of the filing of such documents, except as to any portion of any future annual or quarterly report to stockholders or document or current report furnished under current Items 2.02 or 7.01 of Form 8-K, and exhibits furnished on such form that relate to such items, that is not deemed filed under such provisions.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03" w:lineRule="exact"/>
        <w:rPr>
          <w:rFonts w:ascii="Arial" w:cs="Arial" w:eastAsia="Arial" w:hAnsi="Arial"/>
          <w:sz w:val="18"/>
          <w:szCs w:val="18"/>
          <w:color w:val="0000FF"/>
        </w:rPr>
      </w:pPr>
    </w:p>
    <w:p>
      <w:pPr>
        <w:jc w:val="both"/>
        <w:ind w:firstLine="648"/>
        <w:spacing w:after="0" w:line="261" w:lineRule="auto"/>
        <w:rPr>
          <w:sz w:val="20"/>
          <w:szCs w:val="20"/>
          <w:color w:val="auto"/>
        </w:rPr>
      </w:pPr>
      <w:r>
        <w:rPr>
          <w:rFonts w:ascii="Arial" w:cs="Arial" w:eastAsia="Arial" w:hAnsi="Arial"/>
          <w:sz w:val="18"/>
          <w:szCs w:val="18"/>
          <w:color w:val="auto"/>
        </w:rPr>
        <w:t>Under no circumstances will any information filed under current Items 2.02 or 7.01 of Form 8-K, and exhibits furnished on such form that relate to such items, be deemed incorporated herein by reference unless such Form 8-K expressly provides to the contrary.</w:t>
      </w:r>
    </w:p>
    <w:p>
      <w:pPr>
        <w:sectPr>
          <w:pgSz w:w="11900" w:h="16838" w:orient="portrait"/>
          <w:cols w:equalWidth="0" w:num="1">
            <w:col w:w="11240"/>
          </w:cols>
          <w:pgMar w:left="320" w:top="119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880" w:type="dxa"/>
            <w:vAlign w:val="bottom"/>
          </w:tcPr>
          <w:p>
            <w:pPr>
              <w:ind w:left="20"/>
              <w:spacing w:after="0"/>
              <w:rPr>
                <w:sz w:val="20"/>
                <w:szCs w:val="20"/>
                <w:color w:val="auto"/>
              </w:rPr>
            </w:pPr>
            <w:r>
              <w:rPr>
                <w:rFonts w:ascii="Arial" w:cs="Arial" w:eastAsia="Arial" w:hAnsi="Arial"/>
                <w:sz w:val="18"/>
                <w:szCs w:val="18"/>
                <w:b w:val="1"/>
                <w:bCs w:val="1"/>
                <w:color w:val="auto"/>
              </w:rPr>
              <w:t>ITEM 8.</w:t>
            </w:r>
          </w:p>
        </w:tc>
        <w:tc>
          <w:tcPr>
            <w:tcW w:w="5220" w:type="dxa"/>
            <w:vAlign w:val="bottom"/>
            <w:gridSpan w:val="16"/>
          </w:tcPr>
          <w:p>
            <w:pPr>
              <w:ind w:left="160"/>
              <w:spacing w:after="0"/>
              <w:rPr>
                <w:sz w:val="20"/>
                <w:szCs w:val="20"/>
                <w:color w:val="auto"/>
              </w:rPr>
            </w:pPr>
            <w:r>
              <w:rPr>
                <w:rFonts w:ascii="Arial" w:cs="Arial" w:eastAsia="Arial" w:hAnsi="Arial"/>
                <w:sz w:val="18"/>
                <w:szCs w:val="18"/>
                <w:b w:val="1"/>
                <w:bCs w:val="1"/>
                <w:color w:val="auto"/>
              </w:rPr>
              <w:t>EXHIBITS</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3"/>
        </w:trPr>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Incorporated by Reference</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20" w:type="dxa"/>
            <w:vAlign w:val="bottom"/>
            <w:gridSpan w:val="9"/>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180" w:type="dxa"/>
            <w:vAlign w:val="bottom"/>
            <w:vMerge w:val="restart"/>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Schedule</w:t>
            </w:r>
          </w:p>
        </w:tc>
        <w:tc>
          <w:tcPr>
            <w:tcW w:w="15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File Number</w:t>
            </w:r>
          </w:p>
        </w:tc>
        <w:tc>
          <w:tcPr>
            <w:tcW w:w="160" w:type="dxa"/>
            <w:vAlign w:val="bottom"/>
            <w:vMerge w:val="restart"/>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80" w:type="dxa"/>
            <w:vAlign w:val="bottom"/>
            <w:vMerge w:val="restart"/>
          </w:tcPr>
          <w:p>
            <w:pPr>
              <w:spacing w:after="0"/>
              <w:rPr>
                <w:sz w:val="12"/>
                <w:szCs w:val="12"/>
                <w:color w:val="auto"/>
              </w:rPr>
            </w:pPr>
          </w:p>
        </w:tc>
        <w:tc>
          <w:tcPr>
            <w:tcW w:w="12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9"/>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8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14"/>
          </w:tcPr>
          <w:p>
            <w:pPr>
              <w:spacing w:after="0"/>
              <w:rPr>
                <w:rFonts w:ascii="Arial" w:cs="Arial" w:eastAsia="Arial" w:hAnsi="Arial"/>
                <w:sz w:val="18"/>
                <w:szCs w:val="18"/>
                <w:color w:val="0000FF"/>
              </w:rPr>
            </w:pPr>
            <w:hyperlink r:id="rId21">
              <w:r>
                <w:rPr>
                  <w:rFonts w:ascii="Arial" w:cs="Arial" w:eastAsia="Arial" w:hAnsi="Arial"/>
                  <w:sz w:val="18"/>
                  <w:szCs w:val="18"/>
                  <w:color w:val="0000FF"/>
                </w:rPr>
                <w:t>Amended and Restated Certificate of Incorporation of the</w:t>
              </w:r>
            </w:hyperlink>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4/8/19</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21">
              <w:r>
                <w:rPr>
                  <w:rFonts w:ascii="Arial" w:cs="Arial" w:eastAsia="Arial" w:hAnsi="Arial"/>
                  <w:sz w:val="18"/>
                  <w:szCs w:val="18"/>
                  <w:color w:val="0000FF"/>
                  <w:w w:val="98"/>
                </w:rPr>
                <w:t>Registrant.</w:t>
              </w:r>
            </w:hyperlink>
          </w:p>
        </w:tc>
        <w:tc>
          <w:tcPr>
            <w:tcW w:w="3680" w:type="dxa"/>
            <w:vAlign w:val="bottom"/>
            <w:tcBorders>
              <w:top w:val="single" w:sz="8" w:color="0000FF"/>
            </w:tcBorders>
            <w:gridSpan w:val="10"/>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880" w:type="dxa"/>
            <w:vAlign w:val="bottom"/>
          </w:tcPr>
          <w:p>
            <w:pPr>
              <w:ind w:left="2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tcBorders>
              <w:bottom w:val="single" w:sz="8" w:color="0000FF"/>
            </w:tcBorders>
            <w:gridSpan w:val="8"/>
          </w:tcPr>
          <w:p>
            <w:pPr>
              <w:spacing w:after="0"/>
              <w:rPr>
                <w:rFonts w:ascii="Arial" w:cs="Arial" w:eastAsia="Arial" w:hAnsi="Arial"/>
                <w:sz w:val="18"/>
                <w:szCs w:val="18"/>
                <w:color w:val="0000FF"/>
                <w:w w:val="99"/>
              </w:rPr>
            </w:pPr>
            <w:hyperlink r:id="rId22">
              <w:r>
                <w:rPr>
                  <w:rFonts w:ascii="Arial" w:cs="Arial" w:eastAsia="Arial" w:hAnsi="Arial"/>
                  <w:sz w:val="18"/>
                  <w:szCs w:val="18"/>
                  <w:color w:val="0000FF"/>
                  <w:w w:val="99"/>
                </w:rPr>
                <w:t>Amended and Restated Bylaws of the Registrant.</w:t>
              </w:r>
            </w:hyperlink>
          </w:p>
        </w:tc>
        <w:tc>
          <w:tcPr>
            <w:tcW w:w="1100" w:type="dxa"/>
            <w:vAlign w:val="bottom"/>
            <w:gridSpan w:val="6"/>
          </w:tcPr>
          <w:p>
            <w:pPr>
              <w:spacing w:after="0"/>
              <w:rPr>
                <w:sz w:val="24"/>
                <w:szCs w:val="2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9/28/18</w:t>
            </w:r>
          </w:p>
        </w:tc>
        <w:tc>
          <w:tcPr>
            <w:tcW w:w="0" w:type="dxa"/>
            <w:vAlign w:val="bottom"/>
          </w:tcPr>
          <w:p>
            <w:pPr>
              <w:spacing w:after="0"/>
              <w:rPr>
                <w:sz w:val="1"/>
                <w:szCs w:val="1"/>
                <w:color w:val="auto"/>
              </w:rPr>
            </w:pPr>
          </w:p>
        </w:tc>
      </w:tr>
      <w:tr>
        <w:trPr>
          <w:trHeight w:val="358"/>
        </w:trPr>
        <w:tc>
          <w:tcPr>
            <w:tcW w:w="880" w:type="dxa"/>
            <w:vAlign w:val="bottom"/>
          </w:tcPr>
          <w:p>
            <w:pPr>
              <w:ind w:left="2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Borders>
              <w:bottom w:val="single" w:sz="8" w:color="0000FF"/>
            </w:tcBorders>
            <w:gridSpan w:val="5"/>
          </w:tcPr>
          <w:p>
            <w:pPr>
              <w:spacing w:after="0"/>
              <w:rPr>
                <w:rFonts w:ascii="Arial" w:cs="Arial" w:eastAsia="Arial" w:hAnsi="Arial"/>
                <w:sz w:val="18"/>
                <w:szCs w:val="18"/>
                <w:color w:val="0000FF"/>
                <w:w w:val="99"/>
              </w:rPr>
            </w:pPr>
            <w:hyperlink r:id="rId23">
              <w:r>
                <w:rPr>
                  <w:rFonts w:ascii="Arial" w:cs="Arial" w:eastAsia="Arial" w:hAnsi="Arial"/>
                  <w:sz w:val="18"/>
                  <w:szCs w:val="18"/>
                  <w:color w:val="0000FF"/>
                  <w:w w:val="99"/>
                </w:rPr>
                <w:t>Form of Common Stock Certificate.</w:t>
              </w:r>
            </w:hyperlink>
          </w:p>
        </w:tc>
        <w:tc>
          <w:tcPr>
            <w:tcW w:w="2220" w:type="dxa"/>
            <w:vAlign w:val="bottom"/>
            <w:gridSpan w:val="9"/>
          </w:tcPr>
          <w:p>
            <w:pPr>
              <w:spacing w:after="0"/>
              <w:rPr>
                <w:sz w:val="24"/>
                <w:szCs w:val="2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4/1/19</w:t>
            </w:r>
          </w:p>
        </w:tc>
        <w:tc>
          <w:tcPr>
            <w:tcW w:w="0" w:type="dxa"/>
            <w:vAlign w:val="bottom"/>
          </w:tcPr>
          <w:p>
            <w:pPr>
              <w:spacing w:after="0"/>
              <w:rPr>
                <w:sz w:val="1"/>
                <w:szCs w:val="1"/>
                <w:color w:val="auto"/>
              </w:rPr>
            </w:pPr>
          </w:p>
        </w:tc>
      </w:tr>
      <w:tr>
        <w:trPr>
          <w:trHeight w:val="371"/>
        </w:trPr>
        <w:tc>
          <w:tcPr>
            <w:tcW w:w="880" w:type="dxa"/>
            <w:vAlign w:val="bottom"/>
          </w:tcPr>
          <w:p>
            <w:pPr>
              <w:ind w:left="2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8"/>
              </w:rPr>
              <w:t>Opinion of Cooley LLP.</w:t>
            </w:r>
          </w:p>
        </w:tc>
        <w:tc>
          <w:tcPr>
            <w:tcW w:w="3200" w:type="dxa"/>
            <w:vAlign w:val="bottom"/>
            <w:gridSpan w:val="10"/>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80" w:type="dxa"/>
            <w:vAlign w:val="bottom"/>
          </w:tcPr>
          <w:p>
            <w:pPr>
              <w:ind w:left="2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14"/>
          </w:tcPr>
          <w:p>
            <w:pPr>
              <w:spacing w:after="0"/>
              <w:rPr>
                <w:sz w:val="20"/>
                <w:szCs w:val="20"/>
                <w:color w:val="auto"/>
              </w:rPr>
            </w:pPr>
            <w:r>
              <w:rPr>
                <w:rFonts w:ascii="Arial" w:cs="Arial" w:eastAsia="Arial" w:hAnsi="Arial"/>
                <w:sz w:val="18"/>
                <w:szCs w:val="18"/>
                <w:color w:val="0000FF"/>
              </w:rPr>
              <w:t>Consent of Cooley LLP (included in Exhibit 5.1).</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2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14"/>
          </w:tcPr>
          <w:p>
            <w:pPr>
              <w:spacing w:after="0"/>
              <w:rPr>
                <w:sz w:val="20"/>
                <w:szCs w:val="20"/>
                <w:color w:val="auto"/>
              </w:rPr>
            </w:pPr>
            <w:r>
              <w:rPr>
                <w:rFonts w:ascii="Arial" w:cs="Arial" w:eastAsia="Arial" w:hAnsi="Arial"/>
                <w:sz w:val="18"/>
                <w:szCs w:val="18"/>
                <w:color w:val="0000FF"/>
              </w:rPr>
              <w:t>Consent of Independent Registered Public Accounting Firm.</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80" w:type="dxa"/>
            <w:vAlign w:val="bottom"/>
          </w:tcPr>
          <w:p>
            <w:pPr>
              <w:ind w:left="2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Power of Attorney (included on the signature page of</w:t>
            </w:r>
          </w:p>
        </w:tc>
        <w:tc>
          <w:tcPr>
            <w:tcW w:w="26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9"/>
              </w:rPr>
              <w:t>this Form S-8).</w:t>
            </w:r>
          </w:p>
        </w:tc>
        <w:tc>
          <w:tcPr>
            <w:tcW w:w="3000" w:type="dxa"/>
            <w:vAlign w:val="bottom"/>
            <w:tcBorders>
              <w:top w:val="single" w:sz="8" w:color="0000FF"/>
            </w:tcBorders>
            <w:gridSpan w:val="7"/>
          </w:tcPr>
          <w:p>
            <w:pPr>
              <w:spacing w:after="0"/>
              <w:rPr>
                <w:sz w:val="13"/>
                <w:szCs w:val="13"/>
                <w:color w:val="auto"/>
              </w:rPr>
            </w:pPr>
          </w:p>
        </w:tc>
        <w:tc>
          <w:tcPr>
            <w:tcW w:w="840" w:type="dxa"/>
            <w:vAlign w:val="bottom"/>
            <w:gridSpan w:val="4"/>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880" w:type="dxa"/>
            <w:vAlign w:val="bottom"/>
          </w:tcPr>
          <w:p>
            <w:pPr>
              <w:ind w:left="2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14"/>
          </w:tcPr>
          <w:p>
            <w:pPr>
              <w:spacing w:after="0"/>
              <w:rPr>
                <w:rFonts w:ascii="Arial" w:cs="Arial" w:eastAsia="Arial" w:hAnsi="Arial"/>
                <w:sz w:val="18"/>
                <w:szCs w:val="18"/>
                <w:color w:val="0000FF"/>
              </w:rPr>
            </w:pPr>
            <w:hyperlink r:id="rId24">
              <w:r>
                <w:rPr>
                  <w:rFonts w:ascii="Arial" w:cs="Arial" w:eastAsia="Arial" w:hAnsi="Arial"/>
                  <w:sz w:val="18"/>
                  <w:szCs w:val="18"/>
                  <w:color w:val="0000FF"/>
                </w:rPr>
                <w:t>Amended and Restated 2018 Equity Incentive Plan.</w:t>
              </w:r>
            </w:hyperlink>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3/25/19</w:t>
            </w:r>
          </w:p>
        </w:tc>
        <w:tc>
          <w:tcPr>
            <w:tcW w:w="0" w:type="dxa"/>
            <w:vAlign w:val="bottom"/>
          </w:tcPr>
          <w:p>
            <w:pPr>
              <w:spacing w:after="0"/>
              <w:rPr>
                <w:sz w:val="1"/>
                <w:szCs w:val="1"/>
                <w:color w:val="auto"/>
              </w:rPr>
            </w:pPr>
          </w:p>
        </w:tc>
      </w:tr>
      <w:tr>
        <w:trPr>
          <w:trHeight w:val="318"/>
        </w:trPr>
        <w:tc>
          <w:tcPr>
            <w:tcW w:w="880" w:type="dxa"/>
            <w:vAlign w:val="bottom"/>
          </w:tcPr>
          <w:p>
            <w:pPr>
              <w:ind w:left="20"/>
              <w:spacing w:after="0"/>
              <w:rPr>
                <w:sz w:val="20"/>
                <w:szCs w:val="20"/>
                <w:color w:val="auto"/>
              </w:rPr>
            </w:pPr>
            <w:r>
              <w:rPr>
                <w:rFonts w:ascii="Arial" w:cs="Arial" w:eastAsia="Arial" w:hAnsi="Arial"/>
                <w:sz w:val="18"/>
                <w:szCs w:val="18"/>
                <w:color w:val="auto"/>
              </w:rPr>
              <w:t>99.2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9"/>
              </w:rPr>
            </w:pPr>
            <w:hyperlink r:id="rId25">
              <w:r>
                <w:rPr>
                  <w:rFonts w:ascii="Arial" w:cs="Arial" w:eastAsia="Arial" w:hAnsi="Arial"/>
                  <w:sz w:val="18"/>
                  <w:szCs w:val="18"/>
                  <w:color w:val="0000FF"/>
                  <w:w w:val="99"/>
                </w:rPr>
                <w:t>2019 Employee Stock Purchase Plan</w:t>
              </w:r>
            </w:hyperlink>
          </w:p>
        </w:tc>
        <w:tc>
          <w:tcPr>
            <w:tcW w:w="1140" w:type="dxa"/>
            <w:vAlign w:val="bottom"/>
            <w:tcBorders>
              <w:top w:val="single" w:sz="8" w:color="0000FF"/>
            </w:tcBorders>
            <w:gridSpan w:val="3"/>
          </w:tcPr>
          <w:p>
            <w:pPr>
              <w:spacing w:after="0"/>
              <w:rPr>
                <w:sz w:val="24"/>
                <w:szCs w:val="24"/>
                <w:color w:val="auto"/>
              </w:rPr>
            </w:pPr>
          </w:p>
        </w:tc>
        <w:tc>
          <w:tcPr>
            <w:tcW w:w="920" w:type="dxa"/>
            <w:vAlign w:val="bottom"/>
            <w:gridSpan w:val="5"/>
          </w:tcPr>
          <w:p>
            <w:pPr>
              <w:spacing w:after="0"/>
              <w:rPr>
                <w:sz w:val="24"/>
                <w:szCs w:val="2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3/25/19</w:t>
            </w:r>
          </w:p>
        </w:tc>
        <w:tc>
          <w:tcPr>
            <w:tcW w:w="0" w:type="dxa"/>
            <w:vAlign w:val="bottom"/>
          </w:tcPr>
          <w:p>
            <w:pPr>
              <w:spacing w:after="0"/>
              <w:rPr>
                <w:sz w:val="1"/>
                <w:szCs w:val="1"/>
                <w:color w:val="auto"/>
              </w:rPr>
            </w:pPr>
          </w:p>
        </w:tc>
      </w:tr>
      <w:tr>
        <w:trPr>
          <w:trHeight w:val="304"/>
        </w:trPr>
        <w:tc>
          <w:tcPr>
            <w:tcW w:w="880" w:type="dxa"/>
            <w:vAlign w:val="bottom"/>
          </w:tcPr>
          <w:p>
            <w:pPr>
              <w:ind w:left="2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14"/>
          </w:tcPr>
          <w:p>
            <w:pPr>
              <w:spacing w:after="0"/>
              <w:rPr>
                <w:sz w:val="20"/>
                <w:szCs w:val="20"/>
                <w:color w:val="auto"/>
              </w:rPr>
            </w:pPr>
            <w:r>
              <w:rPr>
                <w:rFonts w:ascii="Arial" w:cs="Arial" w:eastAsia="Arial" w:hAnsi="Arial"/>
                <w:sz w:val="18"/>
                <w:szCs w:val="18"/>
                <w:color w:val="0000FF"/>
              </w:rPr>
              <w:t>Filing fee table</w:t>
            </w:r>
            <w:r>
              <w:rPr>
                <w:rFonts w:ascii="Arial" w:cs="Arial" w:eastAsia="Arial" w:hAnsi="Arial"/>
                <w:sz w:val="18"/>
                <w:szCs w:val="18"/>
                <w:color w:val="000000"/>
              </w:rPr>
              <w:t>.</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1">
            <w:col w:w="11220"/>
          </w:cols>
          <w:pgMar w:left="320" w:top="1372" w:right="35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648"/>
        <w:spacing w:after="0" w:line="278"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this 28th day of February, 2023.</w:t>
      </w:r>
    </w:p>
    <w:p>
      <w:pPr>
        <w:spacing w:after="0" w:line="338"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NGM Biopharmaceuticals, Inc.</w:t>
      </w:r>
    </w:p>
    <w:p>
      <w:pPr>
        <w:spacing w:after="0" w:line="45" w:lineRule="exact"/>
        <w:rPr>
          <w:sz w:val="20"/>
          <w:szCs w:val="20"/>
          <w:color w:val="auto"/>
        </w:rPr>
      </w:pPr>
    </w:p>
    <w:p>
      <w:pPr>
        <w:ind w:left="554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J. Woodhouse, Ph.D.</w:t>
      </w:r>
    </w:p>
    <w:p>
      <w:pPr>
        <w:spacing w:after="0" w:line="10"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 and Director</w:t>
      </w:r>
    </w:p>
    <w:p>
      <w:pPr>
        <w:sectPr>
          <w:pgSz w:w="11900" w:h="16838" w:orient="portrait"/>
          <w:cols w:equalWidth="0" w:num="1">
            <w:col w:w="11120"/>
          </w:cols>
          <w:pgMar w:left="320" w:top="1075" w:right="4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David J. Woodhouse, Siobhan Nolan Mangini and Valerie Pierce, and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9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120" w:type="dxa"/>
            <w:vAlign w:val="bottom"/>
          </w:tcPr>
          <w:p>
            <w:pPr>
              <w:spacing w:after="0"/>
              <w:rPr>
                <w:sz w:val="20"/>
                <w:szCs w:val="20"/>
                <w:color w:val="auto"/>
              </w:rPr>
            </w:pPr>
          </w:p>
        </w:tc>
        <w:tc>
          <w:tcPr>
            <w:tcW w:w="5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r>
      <w:tr>
        <w:trPr>
          <w:trHeight w:val="223"/>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J. Woodhouse</w:t>
            </w:r>
          </w:p>
        </w:tc>
        <w:tc>
          <w:tcPr>
            <w:tcW w:w="120" w:type="dxa"/>
            <w:vAlign w:val="bottom"/>
          </w:tcPr>
          <w:p>
            <w:pPr>
              <w:spacing w:after="0"/>
              <w:rPr>
                <w:sz w:val="19"/>
                <w:szCs w:val="19"/>
                <w:color w:val="auto"/>
              </w:rPr>
            </w:pPr>
          </w:p>
        </w:tc>
        <w:tc>
          <w:tcPr>
            <w:tcW w:w="6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Chief Executive Officer and Director</w:t>
            </w:r>
          </w:p>
        </w:tc>
        <w:tc>
          <w:tcPr>
            <w:tcW w:w="1920" w:type="dxa"/>
            <w:vAlign w:val="bottom"/>
          </w:tcPr>
          <w:p>
            <w:pPr>
              <w:jc w:val="center"/>
              <w:spacing w:after="0"/>
              <w:rPr>
                <w:sz w:val="20"/>
                <w:szCs w:val="20"/>
                <w:color w:val="auto"/>
              </w:rPr>
            </w:pPr>
            <w:r>
              <w:rPr>
                <w:rFonts w:ascii="Arial" w:cs="Arial" w:eastAsia="Arial" w:hAnsi="Arial"/>
                <w:sz w:val="18"/>
                <w:szCs w:val="18"/>
                <w:color w:val="auto"/>
              </w:rPr>
              <w:t>February 28, 2023</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rPr>
              <w:t>David J. Woodhouse, Ph.D.</w:t>
            </w:r>
          </w:p>
        </w:tc>
        <w:tc>
          <w:tcPr>
            <w:tcW w:w="120" w:type="dxa"/>
            <w:vAlign w:val="bottom"/>
          </w:tcPr>
          <w:p>
            <w:pPr>
              <w:spacing w:after="0"/>
              <w:rPr>
                <w:sz w:val="19"/>
                <w:szCs w:val="19"/>
                <w:color w:val="auto"/>
              </w:rPr>
            </w:pPr>
          </w:p>
        </w:tc>
        <w:tc>
          <w:tcPr>
            <w:tcW w:w="600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9"/>
              </w:rPr>
              <w:t>(Principal Executive Officer)</w:t>
            </w:r>
          </w:p>
        </w:tc>
        <w:tc>
          <w:tcPr>
            <w:tcW w:w="1920" w:type="dxa"/>
            <w:vAlign w:val="bottom"/>
          </w:tcPr>
          <w:p>
            <w:pPr>
              <w:spacing w:after="0"/>
              <w:rPr>
                <w:sz w:val="19"/>
                <w:szCs w:val="19"/>
                <w:color w:val="auto"/>
              </w:rPr>
            </w:pPr>
          </w:p>
        </w:tc>
      </w:tr>
      <w:tr>
        <w:trPr>
          <w:trHeight w:val="392"/>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Siobhan Nolan Mangini</w:t>
            </w:r>
          </w:p>
        </w:tc>
        <w:tc>
          <w:tcPr>
            <w:tcW w:w="120" w:type="dxa"/>
            <w:vAlign w:val="bottom"/>
          </w:tcPr>
          <w:p>
            <w:pPr>
              <w:spacing w:after="0"/>
              <w:rPr>
                <w:sz w:val="24"/>
                <w:szCs w:val="24"/>
                <w:color w:val="auto"/>
              </w:rPr>
            </w:pPr>
          </w:p>
        </w:tc>
        <w:tc>
          <w:tcPr>
            <w:tcW w:w="6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President and Chief Financial Officer</w:t>
            </w:r>
          </w:p>
        </w:tc>
        <w:tc>
          <w:tcPr>
            <w:tcW w:w="1920" w:type="dxa"/>
            <w:vAlign w:val="bottom"/>
          </w:tcPr>
          <w:p>
            <w:pPr>
              <w:jc w:val="center"/>
              <w:spacing w:after="0"/>
              <w:rPr>
                <w:sz w:val="20"/>
                <w:szCs w:val="20"/>
                <w:color w:val="auto"/>
              </w:rPr>
            </w:pPr>
            <w:r>
              <w:rPr>
                <w:rFonts w:ascii="Arial" w:cs="Arial" w:eastAsia="Arial" w:hAnsi="Arial"/>
                <w:sz w:val="18"/>
                <w:szCs w:val="18"/>
                <w:color w:val="auto"/>
              </w:rPr>
              <w:t>February 28, 2023</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Siobhan Nolan Mangini</w:t>
            </w:r>
          </w:p>
        </w:tc>
        <w:tc>
          <w:tcPr>
            <w:tcW w:w="120" w:type="dxa"/>
            <w:vAlign w:val="bottom"/>
          </w:tcPr>
          <w:p>
            <w:pPr>
              <w:spacing w:after="0"/>
              <w:rPr>
                <w:sz w:val="19"/>
                <w:szCs w:val="19"/>
                <w:color w:val="auto"/>
              </w:rPr>
            </w:pPr>
          </w:p>
        </w:tc>
        <w:tc>
          <w:tcPr>
            <w:tcW w:w="600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rPr>
              <w:t>(Principal Financial and Accounting Officer)</w:t>
            </w:r>
          </w:p>
        </w:tc>
        <w:tc>
          <w:tcPr>
            <w:tcW w:w="1920" w:type="dxa"/>
            <w:vAlign w:val="bottom"/>
          </w:tcPr>
          <w:p>
            <w:pPr>
              <w:spacing w:after="0"/>
              <w:rPr>
                <w:sz w:val="19"/>
                <w:szCs w:val="19"/>
                <w:color w:val="auto"/>
              </w:rPr>
            </w:pPr>
          </w:p>
        </w:tc>
      </w:tr>
      <w:tr>
        <w:trPr>
          <w:trHeight w:val="378"/>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Bill Rieflin</w:t>
            </w:r>
          </w:p>
        </w:tc>
        <w:tc>
          <w:tcPr>
            <w:tcW w:w="120" w:type="dxa"/>
            <w:vAlign w:val="bottom"/>
          </w:tcPr>
          <w:p>
            <w:pPr>
              <w:spacing w:after="0"/>
              <w:rPr>
                <w:sz w:val="24"/>
                <w:szCs w:val="24"/>
                <w:color w:val="auto"/>
              </w:rPr>
            </w:pPr>
          </w:p>
        </w:tc>
        <w:tc>
          <w:tcPr>
            <w:tcW w:w="6000" w:type="dxa"/>
            <w:vAlign w:val="bottom"/>
            <w:gridSpan w:val="2"/>
          </w:tcPr>
          <w:p>
            <w:pPr>
              <w:jc w:val="center"/>
              <w:ind w:right="100"/>
              <w:spacing w:after="0"/>
              <w:rPr>
                <w:sz w:val="20"/>
                <w:szCs w:val="20"/>
                <w:color w:val="auto"/>
              </w:rPr>
            </w:pPr>
            <w:r>
              <w:rPr>
                <w:rFonts w:ascii="Arial" w:cs="Arial" w:eastAsia="Arial" w:hAnsi="Arial"/>
                <w:sz w:val="18"/>
                <w:szCs w:val="18"/>
                <w:color w:val="auto"/>
              </w:rPr>
              <w:t>Chairman and Director</w:t>
            </w:r>
          </w:p>
        </w:tc>
        <w:tc>
          <w:tcPr>
            <w:tcW w:w="1920" w:type="dxa"/>
            <w:vAlign w:val="bottom"/>
          </w:tcPr>
          <w:p>
            <w:pPr>
              <w:jc w:val="center"/>
              <w:spacing w:after="0"/>
              <w:rPr>
                <w:sz w:val="20"/>
                <w:szCs w:val="20"/>
                <w:color w:val="auto"/>
              </w:rPr>
            </w:pPr>
            <w:r>
              <w:rPr>
                <w:rFonts w:ascii="Arial" w:cs="Arial" w:eastAsia="Arial" w:hAnsi="Arial"/>
                <w:sz w:val="18"/>
                <w:szCs w:val="18"/>
                <w:color w:val="auto"/>
              </w:rPr>
              <w:t>February 28, 2023</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William J. Rieflin</w:t>
            </w:r>
          </w:p>
        </w:tc>
        <w:tc>
          <w:tcPr>
            <w:tcW w:w="1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8"/>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Jin-Long Chen</w:t>
            </w:r>
          </w:p>
        </w:tc>
        <w:tc>
          <w:tcPr>
            <w:tcW w:w="120" w:type="dxa"/>
            <w:vAlign w:val="bottom"/>
          </w:tcPr>
          <w:p>
            <w:pPr>
              <w:spacing w:after="0"/>
              <w:rPr>
                <w:sz w:val="24"/>
                <w:szCs w:val="24"/>
                <w:color w:val="auto"/>
              </w:rPr>
            </w:pPr>
          </w:p>
        </w:tc>
        <w:tc>
          <w:tcPr>
            <w:tcW w:w="6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Chief Scientific Officer and Director</w:t>
            </w:r>
          </w:p>
        </w:tc>
        <w:tc>
          <w:tcPr>
            <w:tcW w:w="1920" w:type="dxa"/>
            <w:vAlign w:val="bottom"/>
          </w:tcPr>
          <w:p>
            <w:pPr>
              <w:jc w:val="center"/>
              <w:spacing w:after="0"/>
              <w:rPr>
                <w:sz w:val="20"/>
                <w:szCs w:val="20"/>
                <w:color w:val="auto"/>
              </w:rPr>
            </w:pPr>
            <w:r>
              <w:rPr>
                <w:rFonts w:ascii="Arial" w:cs="Arial" w:eastAsia="Arial" w:hAnsi="Arial"/>
                <w:sz w:val="18"/>
                <w:szCs w:val="18"/>
                <w:color w:val="auto"/>
              </w:rPr>
              <w:t>February 28, 2023</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Jin-Long Chen, Ph.D.</w:t>
            </w:r>
          </w:p>
        </w:tc>
        <w:tc>
          <w:tcPr>
            <w:tcW w:w="1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8"/>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V. Goeddel, Ph.D.</w:t>
            </w:r>
          </w:p>
        </w:tc>
        <w:tc>
          <w:tcPr>
            <w:tcW w:w="120" w:type="dxa"/>
            <w:vAlign w:val="bottom"/>
          </w:tcPr>
          <w:p>
            <w:pPr>
              <w:spacing w:after="0"/>
              <w:rPr>
                <w:sz w:val="24"/>
                <w:szCs w:val="24"/>
                <w:color w:val="auto"/>
              </w:rPr>
            </w:pPr>
          </w:p>
        </w:tc>
        <w:tc>
          <w:tcPr>
            <w:tcW w:w="60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rPr>
              <w:t>February 28, 2023</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8"/>
              </w:rPr>
              <w:t>David V. Goeddel, Ph.D.</w:t>
            </w:r>
          </w:p>
        </w:tc>
        <w:tc>
          <w:tcPr>
            <w:tcW w:w="1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8"/>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Shelly D. Guyer</w:t>
            </w:r>
          </w:p>
        </w:tc>
        <w:tc>
          <w:tcPr>
            <w:tcW w:w="120" w:type="dxa"/>
            <w:vAlign w:val="bottom"/>
          </w:tcPr>
          <w:p>
            <w:pPr>
              <w:spacing w:after="0"/>
              <w:rPr>
                <w:sz w:val="24"/>
                <w:szCs w:val="24"/>
                <w:color w:val="auto"/>
              </w:rPr>
            </w:pPr>
          </w:p>
        </w:tc>
        <w:tc>
          <w:tcPr>
            <w:tcW w:w="60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rPr>
              <w:t>February 28, 2023</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Shelly D. Guyer</w:t>
            </w:r>
          </w:p>
        </w:tc>
        <w:tc>
          <w:tcPr>
            <w:tcW w:w="1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8"/>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Carole Ho</w:t>
            </w:r>
          </w:p>
        </w:tc>
        <w:tc>
          <w:tcPr>
            <w:tcW w:w="120" w:type="dxa"/>
            <w:vAlign w:val="bottom"/>
          </w:tcPr>
          <w:p>
            <w:pPr>
              <w:spacing w:after="0"/>
              <w:rPr>
                <w:sz w:val="24"/>
                <w:szCs w:val="24"/>
                <w:color w:val="auto"/>
              </w:rPr>
            </w:pPr>
          </w:p>
        </w:tc>
        <w:tc>
          <w:tcPr>
            <w:tcW w:w="60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rPr>
              <w:t>February 28, 2023</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rPr>
              <w:t>Carole Ho, M.D.</w:t>
            </w:r>
          </w:p>
        </w:tc>
        <w:tc>
          <w:tcPr>
            <w:tcW w:w="1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8"/>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Suzanne Hooper</w:t>
            </w:r>
          </w:p>
        </w:tc>
        <w:tc>
          <w:tcPr>
            <w:tcW w:w="120" w:type="dxa"/>
            <w:vAlign w:val="bottom"/>
          </w:tcPr>
          <w:p>
            <w:pPr>
              <w:spacing w:after="0"/>
              <w:rPr>
                <w:sz w:val="24"/>
                <w:szCs w:val="24"/>
                <w:color w:val="auto"/>
              </w:rPr>
            </w:pPr>
          </w:p>
        </w:tc>
        <w:tc>
          <w:tcPr>
            <w:tcW w:w="60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rPr>
              <w:t>February 28, 2023</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Suzanne Sawochka Hooper</w:t>
            </w:r>
          </w:p>
        </w:tc>
        <w:tc>
          <w:tcPr>
            <w:tcW w:w="1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91"/>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Roger M. Perlmutter, M.D.</w:t>
            </w:r>
          </w:p>
        </w:tc>
        <w:tc>
          <w:tcPr>
            <w:tcW w:w="120" w:type="dxa"/>
            <w:vAlign w:val="bottom"/>
          </w:tcPr>
          <w:p>
            <w:pPr>
              <w:spacing w:after="0"/>
              <w:rPr>
                <w:sz w:val="24"/>
                <w:szCs w:val="24"/>
                <w:color w:val="auto"/>
              </w:rPr>
            </w:pPr>
          </w:p>
        </w:tc>
        <w:tc>
          <w:tcPr>
            <w:tcW w:w="60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rPr>
              <w:t>February 28, 2023</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Roger M. Perlmutter, M.D., Ph.D.</w:t>
            </w:r>
          </w:p>
        </w:tc>
        <w:tc>
          <w:tcPr>
            <w:tcW w:w="1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bl>
    <w:p>
      <w:pPr>
        <w:sectPr>
          <w:pgSz w:w="11900" w:h="16838" w:orient="portrait"/>
          <w:cols w:equalWidth="0" w:num="1">
            <w:col w:w="11240"/>
          </w:cols>
          <w:pgMar w:left="320" w:top="129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25158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125158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Chadwick Mills</w:t>
      </w:r>
    </w:p>
    <w:p>
      <w:pPr>
        <w:spacing w:after="0" w:line="5" w:lineRule="exact"/>
        <w:rPr>
          <w:sz w:val="20"/>
          <w:szCs w:val="20"/>
          <w:color w:val="auto"/>
        </w:rPr>
      </w:pPr>
    </w:p>
    <w:p>
      <w:pPr>
        <w:jc w:val="both"/>
        <w:ind w:right="9840" w:firstLine="8"/>
        <w:spacing w:after="0" w:line="260" w:lineRule="auto"/>
        <w:tabs>
          <w:tab w:leader="none" w:pos="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1 (415) 693-2000 cmills@cooley.com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NGM Biopharmaceuticals,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Oyster Point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3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tab/>
        <w:t>Registration on Form S-8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3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acted as counsel to NGM Biopharmaceuticals,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xml:space="preserve">") covering the offering of up to </w:t>
      </w:r>
      <w:r>
        <w:rPr>
          <w:rFonts w:ascii="Arial" w:cs="Arial" w:eastAsia="Arial" w:hAnsi="Arial"/>
          <w:sz w:val="18"/>
          <w:szCs w:val="18"/>
          <w:color w:val="010202"/>
        </w:rPr>
        <w:t>4,094,270</w:t>
      </w:r>
      <w:r>
        <w:rPr>
          <w:rFonts w:ascii="Arial" w:cs="Arial" w:eastAsia="Arial" w:hAnsi="Arial"/>
          <w:sz w:val="18"/>
          <w:szCs w:val="18"/>
          <w:color w:val="auto"/>
        </w:rPr>
        <w:t xml:space="preserve">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Common Stock, par value $0.001 per share (the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consisting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010202"/>
        </w:rPr>
        <w:t>3,275,416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common stock issuable pursuant to the Company’s Amended and Restated 2018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xml:space="preserve">”) and (b) </w:t>
      </w:r>
      <w:r>
        <w:rPr>
          <w:rFonts w:ascii="Arial" w:cs="Arial" w:eastAsia="Arial" w:hAnsi="Arial"/>
          <w:sz w:val="18"/>
          <w:szCs w:val="18"/>
          <w:color w:val="010202"/>
        </w:rPr>
        <w:t>818,854</w:t>
      </w:r>
      <w:r>
        <w:rPr>
          <w:rFonts w:ascii="Arial" w:cs="Arial" w:eastAsia="Arial" w:hAnsi="Arial"/>
          <w:sz w:val="18"/>
          <w:szCs w:val="18"/>
          <w:color w:val="auto"/>
        </w:rPr>
        <w:t xml:space="preserve"> shares of Common Stock pursuant to the Company’s 2019 Employee Stock Purchase Plan (together with the Plan,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this opinion, we have examined and relied upon the Registration Statement and related prospectus, the Company’s certificate of incorporation and bylaws, each as currently in effect, the Plans and originals or copies certified to our satisfaction of such other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thereof, the accuracy, completeness and authenticity of certificates of public officials, and the due authorization, execution and delivery of all documents by all persons other than by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in accordance with the Plans, the Registration Statement and related prospectus, will be validly issued, fully paid, and nonassessable (except as to shares issued pursuant to certain deferred payment arrangements, which will be fully paid and nonassessable when such deferred payments are made in full).</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OOLEY</w:t>
      </w:r>
      <w:r>
        <w:rPr>
          <w:rFonts w:ascii="Arial" w:cs="Arial" w:eastAsia="Arial" w:hAnsi="Arial"/>
          <w:sz w:val="18"/>
          <w:szCs w:val="18"/>
          <w:b w:val="1"/>
          <w:bCs w:val="1"/>
          <w:color w:val="auto"/>
        </w:rPr>
        <w:t xml:space="preserve"> LLP</w:t>
      </w: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8"/>
          <w:szCs w:val="18"/>
          <w:color w:val="auto"/>
        </w:rPr>
        <w:t>By:</w:t>
        <w:tab/>
        <w:t>/s/ Chadwick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6350</wp:posOffset>
            </wp:positionV>
            <wp:extent cx="2674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Chadwick Mills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Cooley LLP 3 Embarcadero Center, 20</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Floor San Francisco, CA 94111</w:t>
      </w:r>
    </w:p>
    <w:p>
      <w:pPr>
        <w:jc w:val="center"/>
        <w:ind w:right="-19"/>
        <w:spacing w:after="0"/>
        <w:rPr>
          <w:sz w:val="20"/>
          <w:szCs w:val="20"/>
          <w:color w:val="auto"/>
        </w:rPr>
      </w:pPr>
      <w:r>
        <w:rPr>
          <w:rFonts w:ascii="Arial" w:cs="Arial" w:eastAsia="Arial" w:hAnsi="Arial"/>
          <w:sz w:val="13"/>
          <w:szCs w:val="13"/>
          <w:color w:val="auto"/>
        </w:rPr>
        <w:t>t: (415) 693-2000 f: (415) 693-2222 cooley.com</w:t>
      </w:r>
    </w:p>
    <w:p>
      <w:pPr>
        <w:sectPr>
          <w:pgSz w:w="11900" w:h="16838" w:orient="portrait"/>
          <w:cols w:equalWidth="0" w:num="1">
            <w:col w:w="11240"/>
          </w:cols>
          <w:pgMar w:left="320" w:top="1089" w:right="3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NGM Biopharmaceuticals, Inc. Amended and Restated 2018 Equity Incentive Plan and NGM Biopharmaceuticals, Inc. 2019 Employee Stock Purchase Plan of our reports dated February 28, 2023, with respect to the consolidated financial statements of NGM Biopharmaceuticals, Inc., and the effectiveness of internal control over financial reporting of NGM Biopharmaceuticals, Inc., included in its Annual Report (Form 10-K) for the year ended December 31, 2022, filed with the Securities and Exchange Commission.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1413"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000" w:type="dxa"/>
            <w:vAlign w:val="bottom"/>
            <w:tcBorders>
              <w:top w:val="single" w:sz="8" w:color="auto"/>
              <w:left w:val="single" w:sz="8" w:color="auto"/>
              <w:right w:val="single" w:sz="8" w:color="auto"/>
            </w:tcBorders>
          </w:tcPr>
          <w:p>
            <w:pPr>
              <w:spacing w:after="0"/>
              <w:rPr>
                <w:sz w:val="14"/>
                <w:szCs w:val="14"/>
                <w:color w:val="auto"/>
              </w:rPr>
            </w:pPr>
          </w:p>
        </w:tc>
        <w:tc>
          <w:tcPr>
            <w:tcW w:w="1760" w:type="dxa"/>
            <w:vAlign w:val="bottom"/>
            <w:tcBorders>
              <w:top w:val="single" w:sz="8" w:color="auto"/>
              <w:right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spacing w:after="0"/>
              <w:rPr>
                <w:sz w:val="14"/>
                <w:szCs w:val="14"/>
                <w:color w:val="auto"/>
              </w:rPr>
            </w:pPr>
          </w:p>
        </w:tc>
        <w:tc>
          <w:tcPr>
            <w:tcW w:w="1300" w:type="dxa"/>
            <w:vAlign w:val="bottom"/>
            <w:tcBorders>
              <w:top w:val="single" w:sz="8" w:color="auto"/>
              <w:right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Proposed</w:t>
            </w:r>
          </w:p>
        </w:tc>
        <w:tc>
          <w:tcPr>
            <w:tcW w:w="1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Maximum</w:t>
            </w:r>
          </w:p>
        </w:tc>
        <w:tc>
          <w:tcPr>
            <w:tcW w:w="1240" w:type="dxa"/>
            <w:vAlign w:val="bottom"/>
            <w:tcBorders>
              <w:top w:val="single" w:sz="8" w:color="auto"/>
              <w:right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Security</w:t>
            </w:r>
          </w:p>
        </w:tc>
        <w:tc>
          <w:tcPr>
            <w:tcW w:w="17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Fee Calculation</w:t>
            </w:r>
          </w:p>
        </w:tc>
        <w:tc>
          <w:tcPr>
            <w:tcW w:w="130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14"/>
                <w:szCs w:val="14"/>
                <w:b w:val="1"/>
                <w:bCs w:val="1"/>
                <w:color w:val="auto"/>
              </w:rPr>
              <w:t>Amount</w:t>
            </w:r>
          </w:p>
        </w:tc>
        <w:tc>
          <w:tcPr>
            <w:tcW w:w="1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Maximum</w:t>
            </w:r>
          </w:p>
        </w:tc>
        <w:tc>
          <w:tcPr>
            <w:tcW w:w="172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35"/>
        </w:trPr>
        <w:tc>
          <w:tcPr>
            <w:tcW w:w="1000" w:type="dxa"/>
            <w:vAlign w:val="bottom"/>
            <w:tcBorders>
              <w:left w:val="single" w:sz="8" w:color="auto"/>
              <w:right w:val="single" w:sz="8" w:color="auto"/>
            </w:tcBorders>
            <w:vMerge w:val="continue"/>
          </w:tcPr>
          <w:p>
            <w:pPr>
              <w:spacing w:after="0"/>
              <w:rPr>
                <w:sz w:val="11"/>
                <w:szCs w:val="11"/>
                <w:color w:val="auto"/>
              </w:rPr>
            </w:pP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Security Class Title</w:t>
            </w:r>
          </w:p>
        </w:tc>
        <w:tc>
          <w:tcPr>
            <w:tcW w:w="1240" w:type="dxa"/>
            <w:vAlign w:val="bottom"/>
            <w:tcBorders>
              <w:right w:val="single" w:sz="8" w:color="auto"/>
            </w:tcBorders>
            <w:vMerge w:val="continue"/>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Offering Price</w:t>
            </w:r>
          </w:p>
        </w:tc>
        <w:tc>
          <w:tcPr>
            <w:tcW w:w="1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Aggregate</w:t>
            </w:r>
          </w:p>
        </w:tc>
        <w:tc>
          <w:tcPr>
            <w:tcW w:w="12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Fee Rate</w:t>
            </w:r>
          </w:p>
        </w:tc>
        <w:tc>
          <w:tcPr>
            <w:tcW w:w="12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1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Type</w:t>
            </w:r>
          </w:p>
        </w:tc>
        <w:tc>
          <w:tcPr>
            <w:tcW w:w="1760" w:type="dxa"/>
            <w:vAlign w:val="bottom"/>
            <w:tcBorders>
              <w:bottom w:val="single" w:sz="8" w:color="auto"/>
              <w:right w:val="single" w:sz="8" w:color="auto"/>
            </w:tcBorders>
            <w:vMerge w:val="continue"/>
          </w:tcPr>
          <w:p>
            <w:pPr>
              <w:spacing w:after="0"/>
              <w:rPr>
                <w:sz w:val="17"/>
                <w:szCs w:val="17"/>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Rule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Registered </w:t>
            </w:r>
            <w:r>
              <w:rPr>
                <w:rFonts w:ascii="Arial" w:cs="Arial" w:eastAsia="Arial" w:hAnsi="Arial"/>
                <w:sz w:val="9"/>
                <w:szCs w:val="9"/>
                <w:b w:val="1"/>
                <w:bCs w:val="1"/>
                <w:color w:val="auto"/>
              </w:rPr>
              <w:t>(1)</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per Unit</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 Price</w:t>
            </w:r>
          </w:p>
        </w:tc>
        <w:tc>
          <w:tcPr>
            <w:tcW w:w="1240" w:type="dxa"/>
            <w:vAlign w:val="bottom"/>
            <w:tcBorders>
              <w:bottom w:val="single" w:sz="8" w:color="auto"/>
              <w:right w:val="single" w:sz="8" w:color="auto"/>
            </w:tcBorders>
            <w:vMerge w:val="continue"/>
          </w:tcPr>
          <w:p>
            <w:pPr>
              <w:spacing w:after="0"/>
              <w:rPr>
                <w:sz w:val="17"/>
                <w:szCs w:val="17"/>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90"/>
        </w:trPr>
        <w:tc>
          <w:tcPr>
            <w:tcW w:w="10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2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Rule 457(c) and</w:t>
            </w:r>
          </w:p>
        </w:tc>
        <w:tc>
          <w:tcPr>
            <w:tcW w:w="1300" w:type="dxa"/>
            <w:vAlign w:val="bottom"/>
            <w:tcBorders>
              <w:right w:val="single" w:sz="8" w:color="auto"/>
            </w:tcBorders>
            <w:shd w:val="clear" w:color="auto" w:fill="CCEEFF"/>
          </w:tcPr>
          <w:p>
            <w:pPr>
              <w:jc w:val="center"/>
              <w:spacing w:after="0" w:line="191" w:lineRule="exact"/>
              <w:rPr>
                <w:sz w:val="20"/>
                <w:szCs w:val="20"/>
                <w:color w:val="auto"/>
              </w:rPr>
            </w:pPr>
            <w:r>
              <w:rPr>
                <w:rFonts w:ascii="Arial" w:cs="Arial" w:eastAsia="Arial" w:hAnsi="Arial"/>
                <w:sz w:val="16"/>
                <w:szCs w:val="16"/>
                <w:color w:val="auto"/>
                <w:w w:val="97"/>
              </w:rPr>
              <w:t xml:space="preserve">3,275,416 </w:t>
            </w:r>
            <w:r>
              <w:rPr>
                <w:rFonts w:ascii="Arial" w:cs="Arial" w:eastAsia="Arial" w:hAnsi="Arial"/>
                <w:sz w:val="21"/>
                <w:szCs w:val="21"/>
                <w:b w:val="1"/>
                <w:bCs w:val="1"/>
                <w:color w:val="auto"/>
                <w:w w:val="97"/>
                <w:vertAlign w:val="superscript"/>
              </w:rPr>
              <w:t>(2)</w:t>
            </w:r>
          </w:p>
        </w:tc>
        <w:tc>
          <w:tcPr>
            <w:tcW w:w="1240" w:type="dxa"/>
            <w:vAlign w:val="bottom"/>
            <w:tcBorders>
              <w:right w:val="single" w:sz="8" w:color="auto"/>
            </w:tcBorders>
            <w:shd w:val="clear" w:color="auto" w:fill="CCEEFF"/>
          </w:tcPr>
          <w:p>
            <w:pPr>
              <w:jc w:val="center"/>
              <w:spacing w:after="0" w:line="191" w:lineRule="exact"/>
              <w:rPr>
                <w:sz w:val="20"/>
                <w:szCs w:val="20"/>
                <w:color w:val="auto"/>
              </w:rPr>
            </w:pPr>
            <w:r>
              <w:rPr>
                <w:rFonts w:ascii="Arial" w:cs="Arial" w:eastAsia="Arial" w:hAnsi="Arial"/>
                <w:sz w:val="16"/>
                <w:szCs w:val="16"/>
                <w:color w:val="auto"/>
                <w:w w:val="95"/>
              </w:rPr>
              <w:t xml:space="preserve">$4.6125 </w:t>
            </w:r>
            <w:r>
              <w:rPr>
                <w:rFonts w:ascii="Arial" w:cs="Arial" w:eastAsia="Arial" w:hAnsi="Arial"/>
                <w:sz w:val="21"/>
                <w:szCs w:val="21"/>
                <w:b w:val="1"/>
                <w:bCs w:val="1"/>
                <w:color w:val="auto"/>
                <w:w w:val="95"/>
                <w:vertAlign w:val="superscript"/>
              </w:rPr>
              <w:t>(3)</w:t>
            </w:r>
          </w:p>
        </w:tc>
        <w:tc>
          <w:tcPr>
            <w:tcW w:w="1720" w:type="dxa"/>
            <w:vAlign w:val="bottom"/>
            <w:tcBorders>
              <w:right w:val="single" w:sz="8" w:color="auto"/>
            </w:tcBorders>
            <w:shd w:val="clear" w:color="auto" w:fill="CCEEFF"/>
          </w:tcPr>
          <w:p>
            <w:pPr>
              <w:jc w:val="center"/>
              <w:spacing w:after="0" w:line="191" w:lineRule="exact"/>
              <w:rPr>
                <w:sz w:val="20"/>
                <w:szCs w:val="20"/>
                <w:color w:val="auto"/>
              </w:rPr>
            </w:pPr>
            <w:r>
              <w:rPr>
                <w:rFonts w:ascii="Arial" w:cs="Arial" w:eastAsia="Arial" w:hAnsi="Arial"/>
                <w:sz w:val="16"/>
                <w:szCs w:val="16"/>
                <w:color w:val="auto"/>
                <w:w w:val="97"/>
              </w:rPr>
              <w:t xml:space="preserve">$15,107,856.30 </w:t>
            </w:r>
            <w:r>
              <w:rPr>
                <w:rFonts w:ascii="Arial" w:cs="Arial" w:eastAsia="Arial" w:hAnsi="Arial"/>
                <w:sz w:val="21"/>
                <w:szCs w:val="21"/>
                <w:b w:val="1"/>
                <w:bCs w:val="1"/>
                <w:color w:val="auto"/>
                <w:w w:val="97"/>
                <w:vertAlign w:val="superscript"/>
              </w:rPr>
              <w:t>(3)</w:t>
            </w:r>
          </w:p>
        </w:tc>
        <w:tc>
          <w:tcPr>
            <w:tcW w:w="12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$110.20 per</w:t>
            </w:r>
          </w:p>
        </w:tc>
        <w:tc>
          <w:tcPr>
            <w:tcW w:w="12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$1,664.89</w:t>
            </w: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shd w:val="clear" w:color="auto" w:fill="CCEEFF"/>
          </w:tcPr>
          <w:p>
            <w:pPr>
              <w:spacing w:after="0"/>
              <w:rPr>
                <w:sz w:val="18"/>
                <w:szCs w:val="18"/>
                <w:color w:val="auto"/>
              </w:rPr>
            </w:pPr>
          </w:p>
        </w:tc>
        <w:tc>
          <w:tcPr>
            <w:tcW w:w="1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par value $0.001 per</w:t>
            </w:r>
          </w:p>
        </w:tc>
        <w:tc>
          <w:tcPr>
            <w:tcW w:w="12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457(h)</w:t>
            </w:r>
          </w:p>
        </w:tc>
        <w:tc>
          <w:tcPr>
            <w:tcW w:w="130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72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million dollars</w:t>
            </w:r>
          </w:p>
        </w:tc>
        <w:tc>
          <w:tcPr>
            <w:tcW w:w="12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00" w:type="dxa"/>
            <w:vAlign w:val="bottom"/>
            <w:tcBorders>
              <w:left w:val="single" w:sz="8" w:color="auto"/>
              <w:right w:val="single" w:sz="8" w:color="auto"/>
            </w:tcBorders>
            <w:shd w:val="clear" w:color="auto" w:fill="CCEEFF"/>
          </w:tcPr>
          <w:p>
            <w:pPr>
              <w:spacing w:after="0"/>
              <w:rPr>
                <w:sz w:val="16"/>
                <w:szCs w:val="16"/>
                <w:color w:val="auto"/>
              </w:rPr>
            </w:pPr>
          </w:p>
        </w:tc>
        <w:tc>
          <w:tcPr>
            <w:tcW w:w="1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240" w:type="dxa"/>
            <w:vAlign w:val="bottom"/>
            <w:tcBorders>
              <w:right w:val="single" w:sz="8" w:color="auto"/>
            </w:tcBorders>
            <w:shd w:val="clear" w:color="auto" w:fill="CCEEFF"/>
          </w:tcPr>
          <w:p>
            <w:pPr>
              <w:spacing w:after="0"/>
              <w:rPr>
                <w:sz w:val="16"/>
                <w:szCs w:val="16"/>
                <w:color w:val="auto"/>
              </w:rPr>
            </w:pPr>
          </w:p>
        </w:tc>
        <w:tc>
          <w:tcPr>
            <w:tcW w:w="130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72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000" w:type="dxa"/>
            <w:vAlign w:val="bottom"/>
            <w:tcBorders>
              <w:left w:val="single" w:sz="8" w:color="auto"/>
              <w:right w:val="single" w:sz="8" w:color="auto"/>
            </w:tcBorders>
            <w:shd w:val="clear" w:color="auto" w:fill="CCEEFF"/>
          </w:tcPr>
          <w:p>
            <w:pPr>
              <w:spacing w:after="0"/>
              <w:rPr>
                <w:sz w:val="17"/>
                <w:szCs w:val="17"/>
                <w:color w:val="auto"/>
              </w:rPr>
            </w:pPr>
          </w:p>
        </w:tc>
        <w:tc>
          <w:tcPr>
            <w:tcW w:w="17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 Amended and</w:t>
            </w:r>
          </w:p>
        </w:tc>
        <w:tc>
          <w:tcPr>
            <w:tcW w:w="1240" w:type="dxa"/>
            <w:vAlign w:val="bottom"/>
            <w:tcBorders>
              <w:right w:val="single" w:sz="8" w:color="auto"/>
            </w:tcBorders>
            <w:shd w:val="clear" w:color="auto" w:fill="CCEEFF"/>
          </w:tcPr>
          <w:p>
            <w:pPr>
              <w:spacing w:after="0"/>
              <w:rPr>
                <w:sz w:val="17"/>
                <w:szCs w:val="17"/>
                <w:color w:val="auto"/>
              </w:rPr>
            </w:pPr>
          </w:p>
        </w:tc>
        <w:tc>
          <w:tcPr>
            <w:tcW w:w="1300" w:type="dxa"/>
            <w:vAlign w:val="bottom"/>
            <w:tcBorders>
              <w:right w:val="single" w:sz="8" w:color="auto"/>
            </w:tcBorders>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c>
          <w:tcPr>
            <w:tcW w:w="1720" w:type="dxa"/>
            <w:vAlign w:val="bottom"/>
            <w:tcBorders>
              <w:right w:val="single" w:sz="8" w:color="auto"/>
            </w:tcBorders>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00" w:type="dxa"/>
            <w:vAlign w:val="bottom"/>
            <w:tcBorders>
              <w:left w:val="single" w:sz="8" w:color="auto"/>
              <w:right w:val="single" w:sz="8" w:color="auto"/>
            </w:tcBorders>
            <w:shd w:val="clear" w:color="auto" w:fill="CCEEFF"/>
          </w:tcPr>
          <w:p>
            <w:pPr>
              <w:spacing w:after="0"/>
              <w:rPr>
                <w:sz w:val="16"/>
                <w:szCs w:val="16"/>
                <w:color w:val="auto"/>
              </w:rPr>
            </w:pPr>
          </w:p>
        </w:tc>
        <w:tc>
          <w:tcPr>
            <w:tcW w:w="1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Restated 2018 Equity</w:t>
            </w:r>
          </w:p>
        </w:tc>
        <w:tc>
          <w:tcPr>
            <w:tcW w:w="1240" w:type="dxa"/>
            <w:vAlign w:val="bottom"/>
            <w:tcBorders>
              <w:right w:val="single" w:sz="8" w:color="auto"/>
            </w:tcBorders>
            <w:shd w:val="clear" w:color="auto" w:fill="CCEEFF"/>
          </w:tcPr>
          <w:p>
            <w:pPr>
              <w:spacing w:after="0"/>
              <w:rPr>
                <w:sz w:val="16"/>
                <w:szCs w:val="16"/>
                <w:color w:val="auto"/>
              </w:rPr>
            </w:pPr>
          </w:p>
        </w:tc>
        <w:tc>
          <w:tcPr>
            <w:tcW w:w="130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72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Incentive Plan</w:t>
            </w: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c>
          <w:tcPr>
            <w:tcW w:w="1300" w:type="dxa"/>
            <w:vAlign w:val="bottom"/>
            <w:tcBorders>
              <w:bottom w:val="single" w:sz="8" w:color="auto"/>
              <w:right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c>
          <w:tcPr>
            <w:tcW w:w="1720" w:type="dxa"/>
            <w:vAlign w:val="bottom"/>
            <w:tcBorders>
              <w:bottom w:val="single" w:sz="8" w:color="auto"/>
              <w:right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Equity</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Common Stock,</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Rule 457(c) and</w:t>
            </w:r>
          </w:p>
        </w:tc>
        <w:tc>
          <w:tcPr>
            <w:tcW w:w="13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6"/>
                <w:szCs w:val="16"/>
                <w:color w:val="auto"/>
                <w:w w:val="95"/>
              </w:rPr>
              <w:t xml:space="preserve">818,854 </w:t>
            </w:r>
            <w:r>
              <w:rPr>
                <w:rFonts w:ascii="Arial" w:cs="Arial" w:eastAsia="Arial" w:hAnsi="Arial"/>
                <w:sz w:val="21"/>
                <w:szCs w:val="21"/>
                <w:b w:val="1"/>
                <w:bCs w:val="1"/>
                <w:color w:val="auto"/>
                <w:w w:val="95"/>
                <w:vertAlign w:val="superscript"/>
              </w:rPr>
              <w:t>(4)</w:t>
            </w:r>
          </w:p>
        </w:tc>
        <w:tc>
          <w:tcPr>
            <w:tcW w:w="12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6"/>
                <w:szCs w:val="16"/>
                <w:color w:val="auto"/>
                <w:w w:val="95"/>
              </w:rPr>
              <w:t xml:space="preserve">$4.6125 </w:t>
            </w:r>
            <w:r>
              <w:rPr>
                <w:rFonts w:ascii="Arial" w:cs="Arial" w:eastAsia="Arial" w:hAnsi="Arial"/>
                <w:sz w:val="21"/>
                <w:szCs w:val="21"/>
                <w:b w:val="1"/>
                <w:bCs w:val="1"/>
                <w:color w:val="auto"/>
                <w:w w:val="95"/>
                <w:vertAlign w:val="superscript"/>
              </w:rPr>
              <w:t>(3)</w:t>
            </w:r>
          </w:p>
        </w:tc>
        <w:tc>
          <w:tcPr>
            <w:tcW w:w="172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6"/>
                <w:szCs w:val="16"/>
                <w:color w:val="auto"/>
                <w:w w:val="98"/>
              </w:rPr>
              <w:t xml:space="preserve">$3,776,964.08 </w:t>
            </w:r>
            <w:r>
              <w:rPr>
                <w:rFonts w:ascii="Arial" w:cs="Arial" w:eastAsia="Arial" w:hAnsi="Arial"/>
                <w:sz w:val="21"/>
                <w:szCs w:val="21"/>
                <w:b w:val="1"/>
                <w:bCs w:val="1"/>
                <w:color w:val="auto"/>
                <w:w w:val="98"/>
                <w:vertAlign w:val="superscript"/>
              </w:rPr>
              <w:t>(3)</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$110.20 per</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$416.22</w:t>
            </w: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par value $0.001 per</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457(h)</w:t>
            </w:r>
          </w:p>
        </w:tc>
        <w:tc>
          <w:tcPr>
            <w:tcW w:w="13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million dollars</w:t>
            </w: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00" w:type="dxa"/>
            <w:vAlign w:val="bottom"/>
            <w:tcBorders>
              <w:left w:val="single" w:sz="8" w:color="auto"/>
              <w:right w:val="single" w:sz="8" w:color="auto"/>
            </w:tcBorders>
          </w:tcPr>
          <w:p>
            <w:pPr>
              <w:spacing w:after="0"/>
              <w:rPr>
                <w:sz w:val="16"/>
                <w:szCs w:val="16"/>
                <w:color w:val="auto"/>
              </w:rPr>
            </w:pP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share</w:t>
            </w:r>
          </w:p>
        </w:tc>
        <w:tc>
          <w:tcPr>
            <w:tcW w:w="124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000" w:type="dxa"/>
            <w:vAlign w:val="bottom"/>
            <w:tcBorders>
              <w:left w:val="single" w:sz="8" w:color="auto"/>
              <w:right w:val="single" w:sz="8" w:color="auto"/>
            </w:tcBorders>
          </w:tcPr>
          <w:p>
            <w:pPr>
              <w:spacing w:after="0"/>
              <w:rPr>
                <w:sz w:val="17"/>
                <w:szCs w:val="17"/>
                <w:color w:val="auto"/>
              </w:rPr>
            </w:pPr>
          </w:p>
        </w:tc>
        <w:tc>
          <w:tcPr>
            <w:tcW w:w="17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2019 Employee</w:t>
            </w:r>
          </w:p>
        </w:tc>
        <w:tc>
          <w:tcPr>
            <w:tcW w:w="124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00" w:type="dxa"/>
            <w:vAlign w:val="bottom"/>
            <w:tcBorders>
              <w:left w:val="single" w:sz="8" w:color="auto"/>
              <w:right w:val="single" w:sz="8" w:color="auto"/>
            </w:tcBorders>
          </w:tcPr>
          <w:p>
            <w:pPr>
              <w:spacing w:after="0"/>
              <w:rPr>
                <w:sz w:val="16"/>
                <w:szCs w:val="16"/>
                <w:color w:val="auto"/>
              </w:rPr>
            </w:pP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Stock Purchase Plan</w:t>
            </w:r>
          </w:p>
        </w:tc>
        <w:tc>
          <w:tcPr>
            <w:tcW w:w="124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00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00" w:type="dxa"/>
            <w:vAlign w:val="bottom"/>
            <w:tcBorders>
              <w:left w:val="single" w:sz="8" w:color="auto"/>
              <w:right w:val="single" w:sz="8" w:color="auto"/>
            </w:tcBorders>
            <w:shd w:val="clear" w:color="auto" w:fill="CCEEFF"/>
          </w:tcPr>
          <w:p>
            <w:pPr>
              <w:spacing w:after="0"/>
              <w:rPr>
                <w:sz w:val="14"/>
                <w:szCs w:val="14"/>
                <w:color w:val="auto"/>
              </w:rPr>
            </w:pPr>
          </w:p>
        </w:tc>
        <w:tc>
          <w:tcPr>
            <w:tcW w:w="1760" w:type="dxa"/>
            <w:vAlign w:val="bottom"/>
            <w:tcBorders>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Total Offering</w:t>
            </w:r>
          </w:p>
        </w:tc>
        <w:tc>
          <w:tcPr>
            <w:tcW w:w="1240" w:type="dxa"/>
            <w:vAlign w:val="bottom"/>
            <w:tcBorders>
              <w:right w:val="single" w:sz="8" w:color="auto"/>
            </w:tcBorders>
            <w:shd w:val="clear" w:color="auto" w:fill="CCEEFF"/>
          </w:tcPr>
          <w:p>
            <w:pPr>
              <w:spacing w:after="0"/>
              <w:rPr>
                <w:sz w:val="14"/>
                <w:szCs w:val="14"/>
                <w:color w:val="auto"/>
              </w:rPr>
            </w:pPr>
          </w:p>
        </w:tc>
        <w:tc>
          <w:tcPr>
            <w:tcW w:w="1300" w:type="dxa"/>
            <w:vAlign w:val="bottom"/>
            <w:tcBorders>
              <w:right w:val="single" w:sz="8" w:color="auto"/>
            </w:tcBorders>
            <w:shd w:val="clear" w:color="auto" w:fill="CCEEFF"/>
          </w:tcPr>
          <w:p>
            <w:pPr>
              <w:jc w:val="center"/>
              <w:spacing w:after="0" w:line="165" w:lineRule="exact"/>
              <w:rPr>
                <w:sz w:val="20"/>
                <w:szCs w:val="20"/>
                <w:color w:val="auto"/>
              </w:rPr>
            </w:pPr>
            <w:r>
              <w:rPr>
                <w:rFonts w:ascii="Arial" w:cs="Arial" w:eastAsia="Arial" w:hAnsi="Arial"/>
                <w:sz w:val="16"/>
                <w:szCs w:val="16"/>
                <w:color w:val="auto"/>
              </w:rPr>
              <w:t>4,094,270</w:t>
            </w:r>
          </w:p>
        </w:tc>
        <w:tc>
          <w:tcPr>
            <w:tcW w:w="1240" w:type="dxa"/>
            <w:vAlign w:val="bottom"/>
            <w:tcBorders>
              <w:right w:val="single" w:sz="8" w:color="auto"/>
            </w:tcBorders>
            <w:shd w:val="clear" w:color="auto" w:fill="CCEEFF"/>
          </w:tcPr>
          <w:p>
            <w:pPr>
              <w:spacing w:after="0"/>
              <w:rPr>
                <w:sz w:val="14"/>
                <w:szCs w:val="14"/>
                <w:color w:val="auto"/>
              </w:rPr>
            </w:pPr>
          </w:p>
        </w:tc>
        <w:tc>
          <w:tcPr>
            <w:tcW w:w="1720" w:type="dxa"/>
            <w:vAlign w:val="bottom"/>
            <w:tcBorders>
              <w:right w:val="single" w:sz="8" w:color="auto"/>
            </w:tcBorders>
            <w:shd w:val="clear" w:color="auto" w:fill="CCEEFF"/>
          </w:tcPr>
          <w:p>
            <w:pPr>
              <w:jc w:val="center"/>
              <w:spacing w:after="0" w:line="165" w:lineRule="exact"/>
              <w:rPr>
                <w:sz w:val="20"/>
                <w:szCs w:val="20"/>
                <w:color w:val="auto"/>
              </w:rPr>
            </w:pPr>
            <w:r>
              <w:rPr>
                <w:rFonts w:ascii="Arial" w:cs="Arial" w:eastAsia="Arial" w:hAnsi="Arial"/>
                <w:sz w:val="16"/>
                <w:szCs w:val="16"/>
                <w:color w:val="auto"/>
              </w:rPr>
              <w:t>$18,884,820.38</w:t>
            </w:r>
          </w:p>
        </w:tc>
        <w:tc>
          <w:tcPr>
            <w:tcW w:w="1240" w:type="dxa"/>
            <w:vAlign w:val="bottom"/>
            <w:tcBorders>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$110.20 per</w:t>
            </w:r>
          </w:p>
        </w:tc>
        <w:tc>
          <w:tcPr>
            <w:tcW w:w="1240" w:type="dxa"/>
            <w:vAlign w:val="bottom"/>
            <w:tcBorders>
              <w:right w:val="single" w:sz="8" w:color="auto"/>
            </w:tcBorders>
            <w:shd w:val="clear" w:color="auto" w:fill="CCEEFF"/>
          </w:tcPr>
          <w:p>
            <w:pPr>
              <w:jc w:val="center"/>
              <w:spacing w:after="0" w:line="165" w:lineRule="exact"/>
              <w:rPr>
                <w:sz w:val="20"/>
                <w:szCs w:val="20"/>
                <w:color w:val="auto"/>
              </w:rPr>
            </w:pPr>
            <w:r>
              <w:rPr>
                <w:rFonts w:ascii="Arial" w:cs="Arial" w:eastAsia="Arial" w:hAnsi="Arial"/>
                <w:sz w:val="16"/>
                <w:szCs w:val="16"/>
                <w:color w:val="auto"/>
              </w:rPr>
              <w:t>$2,081.11</w:t>
            </w:r>
          </w:p>
        </w:tc>
        <w:tc>
          <w:tcPr>
            <w:tcW w:w="0" w:type="dxa"/>
            <w:vAlign w:val="bottom"/>
          </w:tcPr>
          <w:p>
            <w:pPr>
              <w:spacing w:after="0"/>
              <w:rPr>
                <w:sz w:val="1"/>
                <w:szCs w:val="1"/>
                <w:color w:val="auto"/>
              </w:rPr>
            </w:pPr>
          </w:p>
        </w:tc>
      </w:tr>
      <w:tr>
        <w:trPr>
          <w:trHeight w:val="253"/>
        </w:trPr>
        <w:tc>
          <w:tcPr>
            <w:tcW w:w="100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7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Amounts</w:t>
            </w:r>
          </w:p>
        </w:tc>
        <w:tc>
          <w:tcPr>
            <w:tcW w:w="1240" w:type="dxa"/>
            <w:vAlign w:val="bottom"/>
            <w:tcBorders>
              <w:bottom w:val="single" w:sz="8" w:color="CCEEFF"/>
              <w:right w:val="single" w:sz="8" w:color="auto"/>
            </w:tcBorders>
            <w:shd w:val="clear" w:color="auto" w:fill="CCEEFF"/>
          </w:tcPr>
          <w:p>
            <w:pPr>
              <w:spacing w:after="0"/>
              <w:rPr>
                <w:sz w:val="21"/>
                <w:szCs w:val="21"/>
                <w:color w:val="auto"/>
              </w:rPr>
            </w:pPr>
          </w:p>
        </w:tc>
        <w:tc>
          <w:tcPr>
            <w:tcW w:w="1300" w:type="dxa"/>
            <w:vAlign w:val="bottom"/>
            <w:tcBorders>
              <w:bottom w:val="single" w:sz="8" w:color="CCEEFF"/>
              <w:right w:val="single" w:sz="8" w:color="auto"/>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million dollars</w:t>
            </w:r>
          </w:p>
        </w:tc>
        <w:tc>
          <w:tcPr>
            <w:tcW w:w="124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0" w:type="dxa"/>
            <w:vAlign w:val="bottom"/>
            <w:tcBorders>
              <w:top w:val="single" w:sz="8" w:color="auto"/>
              <w:left w:val="single" w:sz="8" w:color="auto"/>
              <w:right w:val="single" w:sz="8" w:color="auto"/>
            </w:tcBorders>
          </w:tcPr>
          <w:p>
            <w:pPr>
              <w:spacing w:after="0"/>
              <w:rPr>
                <w:sz w:val="20"/>
                <w:szCs w:val="20"/>
                <w:color w:val="auto"/>
              </w:rPr>
            </w:pPr>
          </w:p>
        </w:tc>
        <w:tc>
          <w:tcPr>
            <w:tcW w:w="1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Fee Offsets</w:t>
            </w:r>
          </w:p>
        </w:tc>
        <w:tc>
          <w:tcPr>
            <w:tcW w:w="1240" w:type="dxa"/>
            <w:vAlign w:val="bottom"/>
            <w:tcBorders>
              <w:top w:val="single" w:sz="8" w:color="auto"/>
              <w:right w:val="single" w:sz="8" w:color="auto"/>
            </w:tcBorders>
          </w:tcPr>
          <w:p>
            <w:pPr>
              <w:spacing w:after="0"/>
              <w:rPr>
                <w:sz w:val="20"/>
                <w:szCs w:val="20"/>
                <w:color w:val="auto"/>
              </w:rPr>
            </w:pPr>
          </w:p>
        </w:tc>
        <w:tc>
          <w:tcPr>
            <w:tcW w:w="130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72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0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Fee Due</w:t>
            </w: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c>
          <w:tcPr>
            <w:tcW w:w="1300" w:type="dxa"/>
            <w:vAlign w:val="bottom"/>
            <w:tcBorders>
              <w:bottom w:val="single" w:sz="8" w:color="auto"/>
              <w:right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c>
          <w:tcPr>
            <w:tcW w:w="1720" w:type="dxa"/>
            <w:vAlign w:val="bottom"/>
            <w:tcBorders>
              <w:bottom w:val="single" w:sz="8" w:color="auto"/>
              <w:right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$2,081.11</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460" w:right="500" w:hanging="430"/>
        <w:spacing w:after="0" w:line="253"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416(a) promulgated under the Securities Act of 1933, as amended (the “Securities Act”), this Registration Statement shall also cover any additional shares of common stock, par value $0.001 per share (the “Common Stock”), of NGM Biopharmaceuticals, Inc. (the “Registrant”) that become issuable under the plans set forth herein by reason of any stock dividend, stock split, recapitalization, or other similar transaction effected that results in an increase to the number of outstanding shares of Common Stock.</w:t>
      </w:r>
    </w:p>
    <w:p>
      <w:pPr>
        <w:spacing w:after="0" w:line="151" w:lineRule="exact"/>
        <w:rPr>
          <w:rFonts w:ascii="Arial" w:cs="Arial" w:eastAsia="Arial" w:hAnsi="Arial"/>
          <w:sz w:val="18"/>
          <w:szCs w:val="18"/>
          <w:color w:val="auto"/>
        </w:rPr>
      </w:pPr>
    </w:p>
    <w:p>
      <w:pPr>
        <w:ind w:left="460" w:right="400" w:hanging="430"/>
        <w:spacing w:after="0" w:line="252"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shares of Common Stock that were automatically added to the share reserve under the Registrant’s Amended and Restated 2018 Equity Incentive Plan (the “Restated 2018 Plan”) on January 1, 2023. The Restated 2018 Plan provides that the number of shares of Common Stock reserved for issuance under the Restated 2018 Plan will automatically increase on January 1st each calendar year for ten years, starting on January 1, 2020 and ending on and including January 1, 2029, by the lesser of (a) four percent (4.0%) of the total number of the Registrant’s capital stock outstanding as of December 31st of the immediately preceding calendar year or (b) a number determined by the Registrant’s board of directors.</w:t>
      </w:r>
    </w:p>
    <w:p>
      <w:pPr>
        <w:spacing w:after="0" w:line="153" w:lineRule="exact"/>
        <w:rPr>
          <w:rFonts w:ascii="Arial" w:cs="Arial" w:eastAsia="Arial" w:hAnsi="Arial"/>
          <w:sz w:val="18"/>
          <w:szCs w:val="18"/>
          <w:color w:val="auto"/>
        </w:rPr>
      </w:pPr>
    </w:p>
    <w:p>
      <w:pPr>
        <w:ind w:left="460" w:right="700" w:hanging="430"/>
        <w:spacing w:after="0" w:line="25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estimate is made pursuant to Rule 457(c) and Rule 457(h) of the Securities Act solely for purposes of calculating the registration fee. The Proposed Maximum Offering Price Per Share is based upon the average of the high and low prices for the Registrant’s common stock as reported on The Nasdaq Global Select Market on February 22, 2023, which was $4.6125.</w:t>
      </w:r>
    </w:p>
    <w:p>
      <w:pPr>
        <w:sectPr>
          <w:pgSz w:w="11900" w:h="16838" w:orient="portrait"/>
          <w:cols w:equalWidth="0" w:num="1">
            <w:col w:w="11240"/>
          </w:cols>
          <w:pgMar w:left="320" w:top="1413" w:right="339" w:bottom="1440" w:gutter="0" w:footer="0" w:header="0"/>
        </w:sectPr>
      </w:pPr>
    </w:p>
    <w:bookmarkStart w:id="9" w:name="page10"/>
    <w:bookmarkEnd w:id="9"/>
    <w:p>
      <w:pPr>
        <w:spacing w:after="0" w:line="144" w:lineRule="exact"/>
        <w:rPr>
          <w:sz w:val="20"/>
          <w:szCs w:val="20"/>
          <w:color w:val="auto"/>
        </w:rPr>
      </w:pPr>
    </w:p>
    <w:p>
      <w:pPr>
        <w:ind w:left="430" w:hanging="430"/>
        <w:spacing w:after="0" w:line="252" w:lineRule="auto"/>
        <w:tabs>
          <w:tab w:leader="none" w:pos="43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shares of Common Stock that were automatically added to the share reserve under the Registrant’s 2019 Employee Stock Purchase Plan (the “ESPP”) on January 1, 2023. The ESPP provides that the number of shares of Common Stock reserved for issuance under the ESPP will automatically increase on January 1st each calendar year for ten years, starting on January 1, 2020 and ending on and including January 1, 2029, by the lesser of (a) 1.0% of the total number of shares of common stock outstanding on December 31 of the preceding calendar year, (b) 1,000,000 shares or (c) a number determined by the Registrant’s board of directors that is less than (a) and (b).</w:t>
      </w:r>
    </w:p>
    <w:sectPr>
      <w:pgSz w:w="11900" w:h="16838" w:orient="portrait"/>
      <w:cols w:equalWidth="0" w:num="1">
        <w:col w:w="10770"/>
      </w:cols>
      <w:pgMar w:left="350" w:top="1440"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jpeg"/><Relationship Id="rId28" Type="http://schemas.openxmlformats.org/officeDocument/2006/relationships/image" Target="media/image9.png"/><Relationship Id="rId14" Type="http://schemas.openxmlformats.org/officeDocument/2006/relationships/hyperlink" Target="https://www.sec.gov/Archives/edgar/data/0001426332/000119312519098022/d697498ds8.htm" TargetMode="External"/><Relationship Id="rId15" Type="http://schemas.openxmlformats.org/officeDocument/2006/relationships/hyperlink" Target="https://www.sec.gov/Archives/edgar/data/1426332/000156459020011430/ngm-s8.htm" TargetMode="External"/><Relationship Id="rId16" Type="http://schemas.openxmlformats.org/officeDocument/2006/relationships/hyperlink" Target="https://www.sec.gov/Archives/edgar/data/0001426332/000156459021013185/ngm-s8.htm" TargetMode="External"/><Relationship Id="rId17" Type="http://schemas.openxmlformats.org/officeDocument/2006/relationships/hyperlink" Target="https://www.sec.gov/Archives/edgar/data/1426332/000162828022004538/ngm-03x01x2022xsx8.htm" TargetMode="External"/><Relationship Id="rId18" Type="http://schemas.openxmlformats.org/officeDocument/2006/relationships/hyperlink" Target="https://www.sec.gov/ix?doc=/Archives/edgar/data/0001426332/000162828023005569/ngm-20221231.htm" TargetMode="External"/><Relationship Id="rId19" Type="http://schemas.openxmlformats.org/officeDocument/2006/relationships/hyperlink" Target="https://www.sec.gov/Archives/edgar/data/1426332/000119312519092888/d730351d8a12b.htm" TargetMode="External"/><Relationship Id="rId20" Type="http://schemas.openxmlformats.org/officeDocument/2006/relationships/hyperlink" Target="https://www.sec.gov/Archives/edgar/data/1426332/000156459020011422/ngm-ex43_293.htm" TargetMode="External"/><Relationship Id="rId21" Type="http://schemas.openxmlformats.org/officeDocument/2006/relationships/hyperlink" Target="https://www.sec.gov/Archives/edgar/data/1426332/000119312519100757/d731361dex31.htm" TargetMode="External"/><Relationship Id="rId22" Type="http://schemas.openxmlformats.org/officeDocument/2006/relationships/hyperlink" Target="https://www.sec.gov/Archives/edgar/data/1426332/000119312518287727/d693178dex34.htm" TargetMode="External"/><Relationship Id="rId23" Type="http://schemas.openxmlformats.org/officeDocument/2006/relationships/hyperlink" Target="http://www.sec.gov/Archives/edgar/data/1426332/000119312519094494/d693178dex42.htm" TargetMode="External"/><Relationship Id="rId24" Type="http://schemas.openxmlformats.org/officeDocument/2006/relationships/hyperlink" Target="http://www.sec.gov/Archives/edgar/data/1426332/000119312519084550/d693178dex103.htm" TargetMode="External"/><Relationship Id="rId25" Type="http://schemas.openxmlformats.org/officeDocument/2006/relationships/hyperlink" Target="https://www.sec.gov/Archives/edgar/data/1426332/000119312519084550/d693178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2023-02-28T20:23:23Z</dcterms:created>
  <dcterms:modified xsi:type="dcterms:W3CDTF">2023-02-28T20:23:23Z</dcterms:modified>
</cp:coreProperties>
</file>