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6"/>
          <w:szCs w:val="36"/>
          <w:b w:val="1"/>
          <w:bCs w:val="1"/>
          <w:color w:val="auto"/>
        </w:rPr>
        <w:t>SCHEDULE 13G</w:t>
      </w:r>
    </w:p>
    <w:p>
      <w:pPr>
        <w:spacing w:after="0" w:line="200" w:lineRule="exact"/>
        <w:rPr>
          <w:sz w:val="24"/>
          <w:szCs w:val="24"/>
          <w:color w:val="auto"/>
        </w:rPr>
      </w:pP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NDER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1934</w:t>
      </w:r>
    </w:p>
    <w:p>
      <w:pPr>
        <w:spacing w:after="0" w:line="2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(Amendment No. _____) *</w:t>
      </w:r>
    </w:p>
    <w:p>
      <w:pPr>
        <w:spacing w:after="0" w:line="200" w:lineRule="exact"/>
        <w:rPr>
          <w:sz w:val="24"/>
          <w:szCs w:val="24"/>
          <w:color w:val="auto"/>
        </w:rPr>
      </w:pPr>
    </w:p>
    <w:p>
      <w:pPr>
        <w:spacing w:after="0" w:line="218"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(Name of Issuer)</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(Title of Class of Securities)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62921N 105</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108" w:lineRule="exact"/>
        <w:rPr>
          <w:sz w:val="24"/>
          <w:szCs w:val="24"/>
          <w:color w:val="auto"/>
        </w:rPr>
      </w:pPr>
    </w:p>
    <w:p>
      <w:pPr>
        <w:ind w:left="920" w:hanging="453"/>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0"/>
          <w:szCs w:val="20"/>
          <w:color w:val="auto"/>
        </w:rPr>
        <w:t>Rule 13d-1(b)</w:t>
      </w:r>
    </w:p>
    <w:p>
      <w:pPr>
        <w:spacing w:after="0" w:line="133" w:lineRule="exact"/>
        <w:rPr>
          <w:rFonts w:ascii="MS PGothic" w:cs="MS PGothic" w:eastAsia="MS PGothic" w:hAnsi="MS PGothic"/>
          <w:sz w:val="22"/>
          <w:szCs w:val="22"/>
          <w:color w:val="auto"/>
        </w:rPr>
      </w:pPr>
    </w:p>
    <w:p>
      <w:pPr>
        <w:ind w:left="920" w:hanging="453"/>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0"/>
          <w:szCs w:val="20"/>
          <w:color w:val="auto"/>
        </w:rPr>
        <w:t>Rule 13d-1(c)</w:t>
      </w:r>
    </w:p>
    <w:p>
      <w:pPr>
        <w:spacing w:after="0" w:line="127" w:lineRule="exact"/>
        <w:rPr>
          <w:sz w:val="24"/>
          <w:szCs w:val="24"/>
          <w:color w:val="auto"/>
        </w:rPr>
      </w:pPr>
    </w:p>
    <w:p>
      <w:pPr>
        <w:ind w:left="920" w:hanging="453"/>
        <w:spacing w:after="0"/>
        <w:tabs>
          <w:tab w:leader="none" w:pos="920" w:val="left"/>
        </w:tabs>
        <w:numPr>
          <w:ilvl w:val="1"/>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Rule 13d-1(d)</w:t>
      </w:r>
    </w:p>
    <w:p>
      <w:pPr>
        <w:spacing w:after="0" w:line="134" w:lineRule="exact"/>
        <w:rPr>
          <w:rFonts w:ascii="MS PGothic" w:cs="MS PGothic" w:eastAsia="MS PGothic" w:hAnsi="MS PGothic"/>
          <w:sz w:val="22"/>
          <w:szCs w:val="22"/>
          <w:color w:val="auto"/>
        </w:rPr>
      </w:pPr>
    </w:p>
    <w:p>
      <w:pPr>
        <w:spacing w:after="0"/>
        <w:rPr>
          <w:rFonts w:ascii="MS PGothic" w:cs="MS PGothic" w:eastAsia="MS PGothic" w:hAnsi="MS PGothic"/>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80"/>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20" w:right="299" w:bottom="1440" w:gutter="0" w:footer="0" w:header="0"/>
        </w:sectPr>
      </w:pPr>
    </w:p>
    <w:bookmarkStart w:id="1" w:name="page2"/>
    <w:bookmarkEnd w:id="1"/>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13G</w:t>
      </w:r>
    </w:p>
    <w:p>
      <w:pPr>
        <w:spacing w:after="0" w:line="328" w:lineRule="exact"/>
        <w:rPr>
          <w:sz w:val="20"/>
          <w:szCs w:val="20"/>
          <w:color w:val="auto"/>
        </w:rPr>
      </w:pPr>
    </w:p>
    <w:p>
      <w:pPr>
        <w:sectPr>
          <w:pgSz w:w="11900" w:h="16838" w:orient="portrait"/>
          <w:cols w:equalWidth="0" w:num="2">
            <w:col w:w="4780" w:space="720"/>
            <w:col w:w="5820"/>
          </w:cols>
          <w:pgMar w:left="340" w:top="913" w:right="239" w:bottom="1440" w:gutter="0" w:footer="0" w:header="0"/>
        </w:sectPr>
      </w:pPr>
    </w:p>
    <w:p>
      <w:pPr>
        <w:spacing w:after="0" w:line="234" w:lineRule="exact"/>
        <w:rPr>
          <w:sz w:val="20"/>
          <w:szCs w:val="20"/>
          <w:color w:val="auto"/>
        </w:rPr>
      </w:pPr>
    </w:p>
    <w:p>
      <w:pPr>
        <w:ind w:left="700" w:hanging="695"/>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Rho Ventures V, L.P.</w:t>
      </w:r>
    </w:p>
    <w:p>
      <w:pPr>
        <w:spacing w:after="0" w:line="4" w:lineRule="exact"/>
        <w:rPr>
          <w:rFonts w:ascii="Arial" w:cs="Arial" w:eastAsia="Arial" w:hAnsi="Arial"/>
          <w:sz w:val="22"/>
          <w:szCs w:val="22"/>
          <w:color w:val="auto"/>
        </w:rPr>
      </w:pPr>
    </w:p>
    <w:p>
      <w:pPr>
        <w:ind w:left="700" w:hanging="695"/>
        <w:spacing w:after="0"/>
        <w:tabs>
          <w:tab w:leader="none" w:pos="70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44" w:lineRule="exact"/>
        <w:rPr>
          <w:rFonts w:ascii="Arial" w:cs="Arial" w:eastAsia="Arial" w:hAnsi="Arial"/>
          <w:sz w:val="19"/>
          <w:szCs w:val="19"/>
          <w:color w:val="auto"/>
        </w:rPr>
      </w:pPr>
    </w:p>
    <w:p>
      <w:pPr>
        <w:ind w:left="1100" w:hanging="406"/>
        <w:spacing w:after="0" w:line="253" w:lineRule="exact"/>
        <w:tabs>
          <w:tab w:leader="none" w:pos="1100" w:val="left"/>
        </w:tabs>
        <w:numPr>
          <w:ilvl w:val="1"/>
          <w:numId w:val="3"/>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3" w:lineRule="exact"/>
        <w:rPr>
          <w:rFonts w:ascii="Arial" w:cs="Arial" w:eastAsia="Arial" w:hAnsi="Arial"/>
          <w:sz w:val="22"/>
          <w:szCs w:val="22"/>
          <w:color w:val="auto"/>
        </w:rPr>
      </w:pPr>
    </w:p>
    <w:p>
      <w:pPr>
        <w:ind w:left="1120" w:hanging="426"/>
        <w:spacing w:after="0" w:line="253" w:lineRule="exact"/>
        <w:tabs>
          <w:tab w:leader="none" w:pos="1120" w:val="left"/>
        </w:tabs>
        <w:numPr>
          <w:ilvl w:val="1"/>
          <w:numId w:val="3"/>
        </w:numPr>
        <w:rPr>
          <w:rFonts w:ascii="Arial" w:cs="Arial" w:eastAsia="Arial" w:hAnsi="Arial"/>
          <w:sz w:val="22"/>
          <w:szCs w:val="22"/>
          <w:b w:val="1"/>
          <w:bCs w:val="1"/>
          <w:color w:val="auto"/>
        </w:rPr>
      </w:pPr>
      <w:r>
        <w:rPr>
          <w:rFonts w:ascii="MS PGothic" w:cs="MS PGothic" w:eastAsia="MS PGothic" w:hAnsi="MS PGothic"/>
          <w:sz w:val="21"/>
          <w:szCs w:val="21"/>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700" w:hanging="695"/>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700" w:hanging="695"/>
        <w:spacing w:after="0" w:line="233" w:lineRule="auto"/>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-1268095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-959485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13" w:right="239" w:bottom="1440" w:gutter="0" w:footer="0" w:header="0"/>
          <w:type w:val="continuous"/>
        </w:sectPr>
      </w:pP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59" w:hanging="459"/>
        <w:spacing w:after="0"/>
        <w:tabs>
          <w:tab w:leader="none" w:pos="459" w:val="left"/>
        </w:tabs>
        <w:numPr>
          <w:ilvl w:val="0"/>
          <w:numId w:val="4"/>
        </w:numPr>
        <w:rPr>
          <w:rFonts w:ascii="Arial" w:cs="Arial" w:eastAsia="Arial" w:hAnsi="Arial"/>
          <w:sz w:val="22"/>
          <w:szCs w:val="22"/>
          <w:color w:val="auto"/>
        </w:rPr>
      </w:pPr>
      <w:r>
        <w:rPr>
          <w:rFonts w:ascii="Arial" w:cs="Arial" w:eastAsia="Arial" w:hAnsi="Arial"/>
          <w:sz w:val="22"/>
          <w:szCs w:val="22"/>
          <w:color w:val="auto"/>
        </w:rPr>
        <w:t>Sole Voting Power</w:t>
      </w:r>
    </w:p>
    <w:p>
      <w:pPr>
        <w:ind w:left="45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14" w:lineRule="exact"/>
        <w:rPr>
          <w:rFonts w:ascii="Arial" w:cs="Arial" w:eastAsia="Arial" w:hAnsi="Arial"/>
          <w:sz w:val="22"/>
          <w:szCs w:val="22"/>
          <w:color w:val="auto"/>
        </w:rPr>
      </w:pPr>
    </w:p>
    <w:p>
      <w:pPr>
        <w:ind w:left="459" w:hanging="459"/>
        <w:spacing w:after="0"/>
        <w:tabs>
          <w:tab w:leader="none" w:pos="459" w:val="left"/>
        </w:tabs>
        <w:numPr>
          <w:ilvl w:val="0"/>
          <w:numId w:val="4"/>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173" w:lineRule="exact"/>
        <w:rPr>
          <w:rFonts w:ascii="Arial" w:cs="Arial" w:eastAsia="Arial" w:hAnsi="Arial"/>
          <w:sz w:val="22"/>
          <w:szCs w:val="22"/>
          <w:color w:val="auto"/>
        </w:rPr>
      </w:pPr>
    </w:p>
    <w:p>
      <w:pPr>
        <w:ind w:left="459" w:hanging="459"/>
        <w:spacing w:after="0"/>
        <w:tabs>
          <w:tab w:leader="none" w:pos="459" w:val="left"/>
        </w:tabs>
        <w:numPr>
          <w:ilvl w:val="0"/>
          <w:numId w:val="4"/>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27" w:lineRule="exact"/>
        <w:rPr>
          <w:rFonts w:ascii="Arial" w:cs="Arial" w:eastAsia="Arial" w:hAnsi="Arial"/>
          <w:sz w:val="22"/>
          <w:szCs w:val="22"/>
          <w:color w:val="auto"/>
        </w:rPr>
      </w:pPr>
    </w:p>
    <w:p>
      <w:pPr>
        <w:ind w:left="459" w:hanging="459"/>
        <w:spacing w:after="0"/>
        <w:tabs>
          <w:tab w:leader="none" w:pos="459" w:val="left"/>
        </w:tabs>
        <w:numPr>
          <w:ilvl w:val="0"/>
          <w:numId w:val="4"/>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788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788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-1067435</wp:posOffset>
            </wp:positionV>
            <wp:extent cx="57886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20" w:space="681"/>
            <w:col w:w="9019"/>
          </w:cols>
          <w:pgMar w:left="340" w:top="913" w:right="239" w:bottom="1440" w:gutter="0" w:footer="0" w:header="0"/>
          <w:type w:val="continuous"/>
        </w:sectPr>
      </w:pPr>
    </w:p>
    <w:p>
      <w:pPr>
        <w:ind w:left="700" w:hanging="695"/>
        <w:spacing w:after="0"/>
        <w:tabs>
          <w:tab w:leader="none" w:pos="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tabs>
          <w:tab w:leader="none" w:pos="680" w:val="left"/>
          <w:tab w:leader="none" w:pos="1058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35" w:lineRule="exact"/>
        <w:rPr>
          <w:sz w:val="20"/>
          <w:szCs w:val="20"/>
          <w:color w:val="auto"/>
        </w:rPr>
      </w:pPr>
    </w:p>
    <w:p>
      <w:pPr>
        <w:ind w:left="700" w:hanging="695"/>
        <w:spacing w:after="0"/>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5.7% (3)</w:t>
      </w:r>
    </w:p>
    <w:p>
      <w:pPr>
        <w:spacing w:after="0" w:line="4" w:lineRule="exact"/>
        <w:rPr>
          <w:rFonts w:ascii="Arial" w:cs="Arial" w:eastAsia="Arial" w:hAnsi="Arial"/>
          <w:sz w:val="22"/>
          <w:szCs w:val="22"/>
          <w:color w:val="auto"/>
        </w:rPr>
      </w:pPr>
    </w:p>
    <w:p>
      <w:pPr>
        <w:ind w:left="700" w:hanging="695"/>
        <w:spacing w:after="0" w:line="236" w:lineRule="auto"/>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700"/>
        <w:spacing w:after="0"/>
        <w:rPr>
          <w:rFonts w:ascii="Arial" w:cs="Arial" w:eastAsia="Arial" w:hAnsi="Arial"/>
          <w:sz w:val="22"/>
          <w:szCs w:val="22"/>
          <w:color w:val="auto"/>
        </w:rPr>
      </w:pPr>
      <w:r>
        <w:rPr>
          <w:rFonts w:ascii="Arial" w:cs="Arial" w:eastAsia="Arial" w:hAnsi="Arial"/>
          <w:sz w:val="22"/>
          <w:szCs w:val="22"/>
          <w:b w:val="1"/>
          <w:bCs w:val="1"/>
          <w:color w:val="auto"/>
        </w:rPr>
        <w:t>PN</w:t>
      </w:r>
    </w:p>
    <w:p>
      <w:pPr>
        <w:spacing w:after="0" w:line="231" w:lineRule="exact"/>
        <w:rPr>
          <w:rFonts w:ascii="Arial" w:cs="Arial" w:eastAsia="Arial" w:hAnsi="Arial"/>
          <w:sz w:val="22"/>
          <w:szCs w:val="22"/>
          <w:color w:val="auto"/>
        </w:rPr>
      </w:pPr>
    </w:p>
    <w:p>
      <w:pPr>
        <w:jc w:val="both"/>
        <w:ind w:left="560" w:hanging="247"/>
        <w:spacing w:after="0" w:line="227" w:lineRule="auto"/>
        <w:tabs>
          <w:tab w:leader="none" w:pos="560" w:val="left"/>
        </w:tabs>
        <w:numPr>
          <w:ilvl w:val="1"/>
          <w:numId w:val="6"/>
        </w:numPr>
        <w:rPr>
          <w:rFonts w:ascii="Arial" w:cs="Arial" w:eastAsia="Arial" w:hAnsi="Arial"/>
          <w:sz w:val="14"/>
          <w:szCs w:val="14"/>
          <w:color w:val="auto"/>
        </w:rPr>
      </w:pPr>
      <w:r>
        <w:rPr>
          <w:rFonts w:ascii="Arial" w:cs="Arial" w:eastAsia="Arial" w:hAnsi="Arial"/>
          <w:sz w:val="14"/>
          <w:szCs w:val="14"/>
          <w:color w:val="auto"/>
        </w:rPr>
        <w:t>This statement on Schedule 13G is filed by Rho Ventures V, L.P. (“RV V”), Rho Ventures V Affiliates, L.L.C. (“RV V Affiliates”), Rho Capital Partners LLC (“RCP”), RMV V, L.L.C. (“RMV V”), Joshua Ruch (“Ruch”), Habib Kairouz (“Kairouz”) and Mark Leschly (“Leschly,” together with RV V, RV V Affiliates, RCP, RMV V, Ruch and Kairouz, collectively, the “Reporting Persons”). The Reporting Persons expressly disclaim status as a “group” for purposes of this Schedule 13G.</w:t>
      </w:r>
    </w:p>
    <w:p>
      <w:pPr>
        <w:jc w:val="both"/>
        <w:ind w:left="560" w:hanging="247"/>
        <w:spacing w:after="0" w:line="221" w:lineRule="auto"/>
        <w:tabs>
          <w:tab w:leader="none" w:pos="560" w:val="left"/>
        </w:tabs>
        <w:numPr>
          <w:ilvl w:val="1"/>
          <w:numId w:val="6"/>
        </w:numPr>
        <w:rPr>
          <w:rFonts w:ascii="Arial" w:cs="Arial" w:eastAsia="Arial" w:hAnsi="Arial"/>
          <w:sz w:val="14"/>
          <w:szCs w:val="14"/>
          <w:color w:val="auto"/>
        </w:rPr>
      </w:pPr>
      <w:r>
        <w:rPr>
          <w:rFonts w:ascii="Arial" w:cs="Arial" w:eastAsia="Arial" w:hAnsi="Arial"/>
          <w:sz w:val="14"/>
          <w:szCs w:val="14"/>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4"/>
          <w:szCs w:val="14"/>
          <w:color w:val="auto"/>
        </w:rPr>
      </w:pPr>
    </w:p>
    <w:p>
      <w:pPr>
        <w:ind w:left="560" w:right="20" w:hanging="247"/>
        <w:spacing w:after="0" w:line="237" w:lineRule="auto"/>
        <w:tabs>
          <w:tab w:leader="none" w:pos="560" w:val="left"/>
        </w:tabs>
        <w:numPr>
          <w:ilvl w:val="1"/>
          <w:numId w:val="6"/>
        </w:numPr>
        <w:rPr>
          <w:rFonts w:ascii="Arial" w:cs="Arial" w:eastAsia="Arial" w:hAnsi="Arial"/>
          <w:sz w:val="14"/>
          <w:szCs w:val="14"/>
          <w:color w:val="auto"/>
        </w:rPr>
      </w:pPr>
      <w:r>
        <w:rPr>
          <w:rFonts w:ascii="Arial" w:cs="Arial" w:eastAsia="Arial" w:hAnsi="Arial"/>
          <w:sz w:val="14"/>
          <w:szCs w:val="14"/>
          <w:color w:val="auto"/>
        </w:rPr>
        <w:t>The percentages set forth on the cover sheets are calculated based on 66,654,589 shares of Common Stock reported to be outstanding as of November 8, 2019 as set forth in the Issuer’s Form 10-Q for the period ended September 30, 2019 as filed with the Securities and Exchange Commission (“SEC”)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-1114425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-1431925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-1740535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299720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340" w:top="913" w:right="239" w:bottom="1440" w:gutter="0" w:footer="0" w:header="0"/>
          <w:type w:val="continuous"/>
        </w:sectPr>
      </w:pPr>
    </w:p>
    <w:bookmarkStart w:id="2" w:name="page3"/>
    <w:bookmarkEnd w:id="2"/>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13G</w:t>
      </w:r>
    </w:p>
    <w:p>
      <w:pPr>
        <w:spacing w:after="0" w:line="328" w:lineRule="exact"/>
        <w:rPr>
          <w:sz w:val="20"/>
          <w:szCs w:val="20"/>
          <w:color w:val="auto"/>
        </w:rPr>
      </w:pPr>
    </w:p>
    <w:p>
      <w:pPr>
        <w:sectPr>
          <w:pgSz w:w="11900" w:h="16838" w:orient="portrait"/>
          <w:cols w:equalWidth="0" w:num="2">
            <w:col w:w="4780" w:space="720"/>
            <w:col w:w="5820"/>
          </w:cols>
          <w:pgMar w:left="340" w:top="913" w:right="239" w:bottom="1440" w:gutter="0" w:footer="0" w:header="0"/>
        </w:sectPr>
      </w:pPr>
    </w:p>
    <w:p>
      <w:pPr>
        <w:spacing w:after="0" w:line="261" w:lineRule="exact"/>
        <w:rPr>
          <w:sz w:val="20"/>
          <w:szCs w:val="20"/>
          <w:color w:val="auto"/>
        </w:rPr>
      </w:pPr>
    </w:p>
    <w:p>
      <w:pPr>
        <w:ind w:left="700" w:hanging="695"/>
        <w:spacing w:after="0"/>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Rho Ventures V Affiliates, L.L.C.</w:t>
      </w:r>
    </w:p>
    <w:p>
      <w:pPr>
        <w:spacing w:after="0" w:line="4" w:lineRule="exact"/>
        <w:rPr>
          <w:rFonts w:ascii="Arial" w:cs="Arial" w:eastAsia="Arial" w:hAnsi="Arial"/>
          <w:sz w:val="22"/>
          <w:szCs w:val="22"/>
          <w:color w:val="auto"/>
        </w:rPr>
      </w:pPr>
    </w:p>
    <w:p>
      <w:pPr>
        <w:ind w:left="700" w:hanging="695"/>
        <w:spacing w:after="0"/>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100" w:hanging="406"/>
        <w:spacing w:after="0" w:line="253" w:lineRule="exact"/>
        <w:tabs>
          <w:tab w:leader="none" w:pos="1100" w:val="left"/>
        </w:tabs>
        <w:numPr>
          <w:ilvl w:val="1"/>
          <w:numId w:val="7"/>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120" w:hanging="426"/>
        <w:spacing w:after="0" w:line="253" w:lineRule="exact"/>
        <w:tabs>
          <w:tab w:leader="none" w:pos="1120" w:val="left"/>
        </w:tabs>
        <w:numPr>
          <w:ilvl w:val="1"/>
          <w:numId w:val="7"/>
        </w:numPr>
        <w:rPr>
          <w:rFonts w:ascii="Arial" w:cs="Arial" w:eastAsia="Arial" w:hAnsi="Arial"/>
          <w:sz w:val="22"/>
          <w:szCs w:val="22"/>
          <w:b w:val="1"/>
          <w:bCs w:val="1"/>
          <w:color w:val="auto"/>
        </w:rPr>
      </w:pPr>
      <w:r>
        <w:rPr>
          <w:rFonts w:ascii="MS PGothic" w:cs="MS PGothic" w:eastAsia="MS PGothic" w:hAnsi="MS PGothic"/>
          <w:sz w:val="21"/>
          <w:szCs w:val="21"/>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700" w:hanging="695"/>
        <w:spacing w:after="0"/>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700" w:hanging="695"/>
        <w:spacing w:after="0" w:line="233" w:lineRule="auto"/>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-1422400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-1113790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13" w:right="239" w:bottom="1440" w:gutter="0" w:footer="0" w:header="0"/>
          <w:type w:val="continuous"/>
        </w:sectPr>
      </w:pP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59" w:hanging="459"/>
        <w:spacing w:after="0"/>
        <w:tabs>
          <w:tab w:leader="none" w:pos="459" w:val="left"/>
        </w:tabs>
        <w:numPr>
          <w:ilvl w:val="0"/>
          <w:numId w:val="8"/>
        </w:numPr>
        <w:rPr>
          <w:rFonts w:ascii="Arial" w:cs="Arial" w:eastAsia="Arial" w:hAnsi="Arial"/>
          <w:sz w:val="22"/>
          <w:szCs w:val="22"/>
          <w:color w:val="auto"/>
        </w:rPr>
      </w:pPr>
      <w:r>
        <w:rPr>
          <w:rFonts w:ascii="Arial" w:cs="Arial" w:eastAsia="Arial" w:hAnsi="Arial"/>
          <w:sz w:val="22"/>
          <w:szCs w:val="22"/>
          <w:color w:val="auto"/>
        </w:rPr>
        <w:t>Sole Voting Power</w:t>
      </w:r>
    </w:p>
    <w:p>
      <w:pPr>
        <w:ind w:left="45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14" w:lineRule="exact"/>
        <w:rPr>
          <w:rFonts w:ascii="Arial" w:cs="Arial" w:eastAsia="Arial" w:hAnsi="Arial"/>
          <w:sz w:val="22"/>
          <w:szCs w:val="22"/>
          <w:color w:val="auto"/>
        </w:rPr>
      </w:pPr>
    </w:p>
    <w:p>
      <w:pPr>
        <w:ind w:left="459" w:hanging="459"/>
        <w:spacing w:after="0"/>
        <w:tabs>
          <w:tab w:leader="none" w:pos="459" w:val="left"/>
        </w:tabs>
        <w:numPr>
          <w:ilvl w:val="0"/>
          <w:numId w:val="8"/>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173" w:lineRule="exact"/>
        <w:rPr>
          <w:rFonts w:ascii="Arial" w:cs="Arial" w:eastAsia="Arial" w:hAnsi="Arial"/>
          <w:sz w:val="22"/>
          <w:szCs w:val="22"/>
          <w:color w:val="auto"/>
        </w:rPr>
      </w:pPr>
    </w:p>
    <w:p>
      <w:pPr>
        <w:ind w:left="459" w:hanging="459"/>
        <w:spacing w:after="0"/>
        <w:tabs>
          <w:tab w:leader="none" w:pos="459" w:val="left"/>
        </w:tabs>
        <w:numPr>
          <w:ilvl w:val="0"/>
          <w:numId w:val="8"/>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27" w:lineRule="exact"/>
        <w:rPr>
          <w:rFonts w:ascii="Arial" w:cs="Arial" w:eastAsia="Arial" w:hAnsi="Arial"/>
          <w:sz w:val="22"/>
          <w:szCs w:val="22"/>
          <w:color w:val="auto"/>
        </w:rPr>
      </w:pPr>
    </w:p>
    <w:p>
      <w:pPr>
        <w:ind w:left="459" w:hanging="459"/>
        <w:spacing w:after="0"/>
        <w:tabs>
          <w:tab w:leader="none" w:pos="459" w:val="left"/>
        </w:tabs>
        <w:numPr>
          <w:ilvl w:val="0"/>
          <w:numId w:val="8"/>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7886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7886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-1067435</wp:posOffset>
            </wp:positionV>
            <wp:extent cx="57886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20" w:space="681"/>
            <w:col w:w="9019"/>
          </w:cols>
          <w:pgMar w:left="340" w:top="913" w:right="239" w:bottom="1440" w:gutter="0" w:footer="0" w:header="0"/>
          <w:type w:val="continuous"/>
        </w:sectPr>
      </w:pPr>
    </w:p>
    <w:p>
      <w:pPr>
        <w:ind w:left="700" w:hanging="695"/>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tabs>
          <w:tab w:leader="none" w:pos="680" w:val="left"/>
          <w:tab w:leader="none" w:pos="1058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35" w:lineRule="exact"/>
        <w:rPr>
          <w:sz w:val="20"/>
          <w:szCs w:val="20"/>
          <w:color w:val="auto"/>
        </w:rPr>
      </w:pPr>
    </w:p>
    <w:p>
      <w:pPr>
        <w:ind w:left="700" w:hanging="695"/>
        <w:spacing w:after="0"/>
        <w:tabs>
          <w:tab w:leader="none" w:pos="7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5.7% (3)</w:t>
      </w:r>
    </w:p>
    <w:p>
      <w:pPr>
        <w:spacing w:after="0" w:line="4" w:lineRule="exact"/>
        <w:rPr>
          <w:rFonts w:ascii="Arial" w:cs="Arial" w:eastAsia="Arial" w:hAnsi="Arial"/>
          <w:sz w:val="22"/>
          <w:szCs w:val="22"/>
          <w:color w:val="auto"/>
        </w:rPr>
      </w:pPr>
    </w:p>
    <w:p>
      <w:pPr>
        <w:ind w:left="700" w:hanging="695"/>
        <w:spacing w:after="0" w:line="236" w:lineRule="auto"/>
        <w:tabs>
          <w:tab w:leader="none" w:pos="7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700"/>
        <w:spacing w:after="0"/>
        <w:rPr>
          <w:rFonts w:ascii="Arial" w:cs="Arial" w:eastAsia="Arial" w:hAnsi="Arial"/>
          <w:sz w:val="22"/>
          <w:szCs w:val="22"/>
          <w:color w:val="auto"/>
        </w:rPr>
      </w:pPr>
      <w:r>
        <w:rPr>
          <w:rFonts w:ascii="Arial" w:cs="Arial" w:eastAsia="Arial" w:hAnsi="Arial"/>
          <w:sz w:val="22"/>
          <w:szCs w:val="22"/>
          <w:b w:val="1"/>
          <w:bCs w:val="1"/>
          <w:color w:val="auto"/>
        </w:rPr>
        <w:t>OO</w:t>
      </w:r>
    </w:p>
    <w:p>
      <w:pPr>
        <w:spacing w:after="0" w:line="231" w:lineRule="exact"/>
        <w:rPr>
          <w:rFonts w:ascii="Arial" w:cs="Arial" w:eastAsia="Arial" w:hAnsi="Arial"/>
          <w:sz w:val="22"/>
          <w:szCs w:val="22"/>
          <w:color w:val="auto"/>
        </w:rPr>
      </w:pPr>
    </w:p>
    <w:p>
      <w:pPr>
        <w:ind w:left="560" w:hanging="247"/>
        <w:spacing w:after="0"/>
        <w:tabs>
          <w:tab w:leader="none" w:pos="5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This statement on Schedule 13G is filed by the Reporting Persons. The Reporting Persons expressly disclaim status as a “group” for purposes of this Schedule 13G.</w:t>
      </w:r>
    </w:p>
    <w:p>
      <w:pPr>
        <w:jc w:val="both"/>
        <w:ind w:left="560" w:hanging="247"/>
        <w:spacing w:after="0" w:line="221" w:lineRule="auto"/>
        <w:tabs>
          <w:tab w:leader="none" w:pos="5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4"/>
          <w:szCs w:val="14"/>
          <w:color w:val="auto"/>
        </w:rPr>
      </w:pPr>
    </w:p>
    <w:p>
      <w:pPr>
        <w:ind w:left="560" w:right="20" w:hanging="247"/>
        <w:spacing w:after="0" w:line="237" w:lineRule="auto"/>
        <w:tabs>
          <w:tab w:leader="none" w:pos="5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The percentages set forth on the cover sheets are calculated based on 66,654,589 shares of Common Stock reported to be outstanding as of November 8, 2019 as set forth in the Issuer’s Form 10-Q for the period ended September 30, 2019 as filed with the Securities and Exchange Commission (“SEC”)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-925830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-1243330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-1551940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299720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340" w:top="913"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329"/>
        </w:trPr>
        <w:tc>
          <w:tcPr>
            <w:tcW w:w="3660" w:type="dxa"/>
            <w:vAlign w:val="bottom"/>
          </w:tcPr>
          <w:p>
            <w:pPr>
              <w:spacing w:after="0"/>
              <w:rPr>
                <w:sz w:val="20"/>
                <w:szCs w:val="20"/>
                <w:color w:val="auto"/>
              </w:rPr>
            </w:pPr>
            <w:r>
              <w:rPr>
                <w:rFonts w:ascii="Arial" w:cs="Arial" w:eastAsia="Arial" w:hAnsi="Arial"/>
                <w:sz w:val="18"/>
                <w:szCs w:val="18"/>
                <w:b w:val="1"/>
                <w:bCs w:val="1"/>
                <w:color w:val="auto"/>
              </w:rPr>
              <w:t>CUSIP No. 62921N 105</w:t>
            </w:r>
          </w:p>
        </w:tc>
        <w:tc>
          <w:tcPr>
            <w:tcW w:w="2300" w:type="dxa"/>
            <w:vAlign w:val="bottom"/>
          </w:tcPr>
          <w:p>
            <w:pPr>
              <w:ind w:left="1840"/>
              <w:spacing w:after="0"/>
              <w:rPr>
                <w:sz w:val="20"/>
                <w:szCs w:val="20"/>
                <w:color w:val="auto"/>
              </w:rPr>
            </w:pPr>
            <w:r>
              <w:rPr>
                <w:rFonts w:ascii="Arial" w:cs="Arial" w:eastAsia="Arial" w:hAnsi="Arial"/>
                <w:sz w:val="25"/>
                <w:szCs w:val="25"/>
                <w:b w:val="1"/>
                <w:bCs w:val="1"/>
                <w:color w:val="auto"/>
                <w:w w:val="93"/>
              </w:rPr>
              <w:t>13G</w:t>
            </w:r>
          </w:p>
        </w:tc>
      </w:tr>
    </w:tbl>
    <w:p>
      <w:pPr>
        <w:spacing w:after="0" w:line="200" w:lineRule="exact"/>
        <w:rPr>
          <w:sz w:val="20"/>
          <w:szCs w:val="20"/>
          <w:color w:val="auto"/>
        </w:rPr>
      </w:pPr>
    </w:p>
    <w:p>
      <w:pPr>
        <w:spacing w:after="0" w:line="202" w:lineRule="exact"/>
        <w:rPr>
          <w:sz w:val="20"/>
          <w:szCs w:val="20"/>
          <w:color w:val="auto"/>
        </w:rPr>
      </w:pPr>
    </w:p>
    <w:p>
      <w:pPr>
        <w:ind w:left="700" w:hanging="695"/>
        <w:spacing w:after="0"/>
        <w:tabs>
          <w:tab w:leader="none" w:pos="7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Rho Capital Partners LLC</w:t>
      </w:r>
    </w:p>
    <w:p>
      <w:pPr>
        <w:spacing w:after="0" w:line="4" w:lineRule="exact"/>
        <w:rPr>
          <w:rFonts w:ascii="Arial" w:cs="Arial" w:eastAsia="Arial" w:hAnsi="Arial"/>
          <w:sz w:val="22"/>
          <w:szCs w:val="22"/>
          <w:color w:val="auto"/>
        </w:rPr>
      </w:pPr>
    </w:p>
    <w:p>
      <w:pPr>
        <w:ind w:left="700" w:hanging="695"/>
        <w:spacing w:after="0"/>
        <w:tabs>
          <w:tab w:leader="none" w:pos="7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100" w:hanging="406"/>
        <w:spacing w:after="0" w:line="253" w:lineRule="exact"/>
        <w:tabs>
          <w:tab w:leader="none" w:pos="1100" w:val="left"/>
        </w:tabs>
        <w:numPr>
          <w:ilvl w:val="1"/>
          <w:numId w:val="11"/>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120" w:hanging="426"/>
        <w:spacing w:after="0" w:line="253" w:lineRule="exact"/>
        <w:tabs>
          <w:tab w:leader="none" w:pos="1120" w:val="left"/>
        </w:tabs>
        <w:numPr>
          <w:ilvl w:val="1"/>
          <w:numId w:val="11"/>
        </w:numPr>
        <w:rPr>
          <w:rFonts w:ascii="Arial" w:cs="Arial" w:eastAsia="Arial" w:hAnsi="Arial"/>
          <w:sz w:val="22"/>
          <w:szCs w:val="22"/>
          <w:b w:val="1"/>
          <w:bCs w:val="1"/>
          <w:color w:val="auto"/>
        </w:rPr>
      </w:pPr>
      <w:r>
        <w:rPr>
          <w:rFonts w:ascii="MS PGothic" w:cs="MS PGothic" w:eastAsia="MS PGothic" w:hAnsi="MS PGothic"/>
          <w:sz w:val="21"/>
          <w:szCs w:val="21"/>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700" w:hanging="695"/>
        <w:spacing w:after="0"/>
        <w:tabs>
          <w:tab w:leader="none" w:pos="7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700" w:hanging="695"/>
        <w:spacing w:after="0" w:line="233" w:lineRule="auto"/>
        <w:tabs>
          <w:tab w:leader="none" w:pos="7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-1422400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-1113790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13" w:right="239" w:bottom="1440" w:gutter="0" w:footer="0" w:header="0"/>
        </w:sectPr>
      </w:pP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59" w:hanging="459"/>
        <w:spacing w:after="0"/>
        <w:tabs>
          <w:tab w:leader="none" w:pos="459" w:val="left"/>
        </w:tabs>
        <w:numPr>
          <w:ilvl w:val="0"/>
          <w:numId w:val="12"/>
        </w:numPr>
        <w:rPr>
          <w:rFonts w:ascii="Arial" w:cs="Arial" w:eastAsia="Arial" w:hAnsi="Arial"/>
          <w:sz w:val="22"/>
          <w:szCs w:val="22"/>
          <w:color w:val="auto"/>
        </w:rPr>
      </w:pPr>
      <w:r>
        <w:rPr>
          <w:rFonts w:ascii="Arial" w:cs="Arial" w:eastAsia="Arial" w:hAnsi="Arial"/>
          <w:sz w:val="22"/>
          <w:szCs w:val="22"/>
          <w:color w:val="auto"/>
        </w:rPr>
        <w:t>Sole Voting Power</w:t>
      </w:r>
    </w:p>
    <w:p>
      <w:pPr>
        <w:ind w:left="45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14" w:lineRule="exact"/>
        <w:rPr>
          <w:rFonts w:ascii="Arial" w:cs="Arial" w:eastAsia="Arial" w:hAnsi="Arial"/>
          <w:sz w:val="22"/>
          <w:szCs w:val="22"/>
          <w:color w:val="auto"/>
        </w:rPr>
      </w:pPr>
    </w:p>
    <w:p>
      <w:pPr>
        <w:ind w:left="459" w:hanging="459"/>
        <w:spacing w:after="0"/>
        <w:tabs>
          <w:tab w:leader="none" w:pos="459" w:val="left"/>
        </w:tabs>
        <w:numPr>
          <w:ilvl w:val="0"/>
          <w:numId w:val="12"/>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173" w:lineRule="exact"/>
        <w:rPr>
          <w:rFonts w:ascii="Arial" w:cs="Arial" w:eastAsia="Arial" w:hAnsi="Arial"/>
          <w:sz w:val="22"/>
          <w:szCs w:val="22"/>
          <w:color w:val="auto"/>
        </w:rPr>
      </w:pPr>
    </w:p>
    <w:p>
      <w:pPr>
        <w:ind w:left="459" w:hanging="459"/>
        <w:spacing w:after="0"/>
        <w:tabs>
          <w:tab w:leader="none" w:pos="459" w:val="left"/>
        </w:tabs>
        <w:numPr>
          <w:ilvl w:val="0"/>
          <w:numId w:val="12"/>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27" w:lineRule="exact"/>
        <w:rPr>
          <w:rFonts w:ascii="Arial" w:cs="Arial" w:eastAsia="Arial" w:hAnsi="Arial"/>
          <w:sz w:val="22"/>
          <w:szCs w:val="22"/>
          <w:color w:val="auto"/>
        </w:rPr>
      </w:pPr>
    </w:p>
    <w:p>
      <w:pPr>
        <w:ind w:left="459" w:hanging="459"/>
        <w:spacing w:after="0"/>
        <w:tabs>
          <w:tab w:leader="none" w:pos="459" w:val="left"/>
        </w:tabs>
        <w:numPr>
          <w:ilvl w:val="0"/>
          <w:numId w:val="12"/>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7886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7886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-1067435</wp:posOffset>
            </wp:positionV>
            <wp:extent cx="57886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20" w:space="681"/>
            <w:col w:w="9019"/>
          </w:cols>
          <w:pgMar w:left="340" w:top="913" w:right="239" w:bottom="1440" w:gutter="0" w:footer="0" w:header="0"/>
          <w:type w:val="continuous"/>
        </w:sectPr>
      </w:pPr>
    </w:p>
    <w:p>
      <w:pPr>
        <w:ind w:left="700" w:hanging="695"/>
        <w:spacing w:after="0"/>
        <w:tabs>
          <w:tab w:leader="none" w:pos="7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tabs>
          <w:tab w:leader="none" w:pos="680" w:val="left"/>
          <w:tab w:leader="none" w:pos="1058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35" w:lineRule="exact"/>
        <w:rPr>
          <w:sz w:val="20"/>
          <w:szCs w:val="20"/>
          <w:color w:val="auto"/>
        </w:rPr>
      </w:pPr>
    </w:p>
    <w:p>
      <w:pPr>
        <w:ind w:left="700" w:hanging="695"/>
        <w:spacing w:after="0"/>
        <w:tabs>
          <w:tab w:leader="none" w:pos="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5.7% (3)</w:t>
      </w:r>
    </w:p>
    <w:p>
      <w:pPr>
        <w:spacing w:after="0" w:line="4" w:lineRule="exact"/>
        <w:rPr>
          <w:rFonts w:ascii="Arial" w:cs="Arial" w:eastAsia="Arial" w:hAnsi="Arial"/>
          <w:sz w:val="22"/>
          <w:szCs w:val="22"/>
          <w:color w:val="auto"/>
        </w:rPr>
      </w:pPr>
    </w:p>
    <w:p>
      <w:pPr>
        <w:ind w:left="700" w:hanging="695"/>
        <w:spacing w:after="0" w:line="236" w:lineRule="auto"/>
        <w:tabs>
          <w:tab w:leader="none" w:pos="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700"/>
        <w:spacing w:after="0"/>
        <w:rPr>
          <w:rFonts w:ascii="Arial" w:cs="Arial" w:eastAsia="Arial" w:hAnsi="Arial"/>
          <w:sz w:val="22"/>
          <w:szCs w:val="22"/>
          <w:color w:val="auto"/>
        </w:rPr>
      </w:pPr>
      <w:r>
        <w:rPr>
          <w:rFonts w:ascii="Arial" w:cs="Arial" w:eastAsia="Arial" w:hAnsi="Arial"/>
          <w:sz w:val="22"/>
          <w:szCs w:val="22"/>
          <w:b w:val="1"/>
          <w:bCs w:val="1"/>
          <w:color w:val="auto"/>
        </w:rPr>
        <w:t>OO</w:t>
      </w:r>
    </w:p>
    <w:p>
      <w:pPr>
        <w:spacing w:after="0" w:line="231" w:lineRule="exact"/>
        <w:rPr>
          <w:rFonts w:ascii="Arial" w:cs="Arial" w:eastAsia="Arial" w:hAnsi="Arial"/>
          <w:sz w:val="22"/>
          <w:szCs w:val="22"/>
          <w:color w:val="auto"/>
        </w:rPr>
      </w:pPr>
    </w:p>
    <w:p>
      <w:pPr>
        <w:ind w:left="560" w:hanging="247"/>
        <w:spacing w:after="0"/>
        <w:tabs>
          <w:tab w:leader="none" w:pos="5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This statement on Schedule 13G is filed by the Reporting Persons. The Reporting Persons expressly disclaim status as a “group” for purposes of this Schedule 13G.</w:t>
      </w:r>
    </w:p>
    <w:p>
      <w:pPr>
        <w:jc w:val="both"/>
        <w:ind w:left="560" w:hanging="247"/>
        <w:spacing w:after="0" w:line="221" w:lineRule="auto"/>
        <w:tabs>
          <w:tab w:leader="none" w:pos="5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4"/>
          <w:szCs w:val="14"/>
          <w:color w:val="auto"/>
        </w:rPr>
      </w:pPr>
    </w:p>
    <w:p>
      <w:pPr>
        <w:ind w:left="560" w:right="20" w:hanging="247"/>
        <w:spacing w:after="0" w:line="237" w:lineRule="auto"/>
        <w:tabs>
          <w:tab w:leader="none" w:pos="5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The percentages set forth on the cover sheets are calculated based on 66,654,589 shares of Common Stock reported to be outstanding as of November 8, 2019 as set forth in the Issuer’s Form 10-Q for the period ended September 30, 2019 as filed with the Securities and Exchange Commission (“SEC”)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-925830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-1243330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-1551940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377190</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340" w:top="913" w:right="239" w:bottom="1440" w:gutter="0" w:footer="0" w:header="0"/>
          <w:type w:val="continuous"/>
        </w:sectPr>
      </w:pPr>
    </w:p>
    <w:bookmarkStart w:id="4" w:name="page5"/>
    <w:bookmarkEnd w:id="4"/>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13G</w:t>
      </w:r>
    </w:p>
    <w:p>
      <w:pPr>
        <w:spacing w:after="0" w:line="328" w:lineRule="exact"/>
        <w:rPr>
          <w:sz w:val="20"/>
          <w:szCs w:val="20"/>
          <w:color w:val="auto"/>
        </w:rPr>
      </w:pPr>
    </w:p>
    <w:p>
      <w:pPr>
        <w:sectPr>
          <w:pgSz w:w="11900" w:h="16838" w:orient="portrait"/>
          <w:cols w:equalWidth="0" w:num="2">
            <w:col w:w="4780" w:space="720"/>
            <w:col w:w="5820"/>
          </w:cols>
          <w:pgMar w:left="340" w:top="913" w:right="239" w:bottom="1440" w:gutter="0" w:footer="0" w:header="0"/>
        </w:sectPr>
      </w:pPr>
    </w:p>
    <w:p>
      <w:pPr>
        <w:spacing w:after="0" w:line="261" w:lineRule="exact"/>
        <w:rPr>
          <w:sz w:val="20"/>
          <w:szCs w:val="20"/>
          <w:color w:val="auto"/>
        </w:rPr>
      </w:pPr>
    </w:p>
    <w:p>
      <w:pPr>
        <w:ind w:left="700" w:hanging="695"/>
        <w:spacing w:after="0"/>
        <w:tabs>
          <w:tab w:leader="none" w:pos="7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RMV V, L.L.C.</w:t>
      </w:r>
    </w:p>
    <w:p>
      <w:pPr>
        <w:spacing w:after="0" w:line="4" w:lineRule="exact"/>
        <w:rPr>
          <w:rFonts w:ascii="Arial" w:cs="Arial" w:eastAsia="Arial" w:hAnsi="Arial"/>
          <w:sz w:val="22"/>
          <w:szCs w:val="22"/>
          <w:color w:val="auto"/>
        </w:rPr>
      </w:pPr>
    </w:p>
    <w:p>
      <w:pPr>
        <w:ind w:left="700" w:hanging="695"/>
        <w:spacing w:after="0"/>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100" w:hanging="406"/>
        <w:spacing w:after="0" w:line="253" w:lineRule="exact"/>
        <w:tabs>
          <w:tab w:leader="none" w:pos="1100" w:val="left"/>
        </w:tabs>
        <w:numPr>
          <w:ilvl w:val="1"/>
          <w:numId w:val="15"/>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120" w:hanging="426"/>
        <w:spacing w:after="0" w:line="253" w:lineRule="exact"/>
        <w:tabs>
          <w:tab w:leader="none" w:pos="1120" w:val="left"/>
        </w:tabs>
        <w:numPr>
          <w:ilvl w:val="1"/>
          <w:numId w:val="15"/>
        </w:numPr>
        <w:rPr>
          <w:rFonts w:ascii="Arial" w:cs="Arial" w:eastAsia="Arial" w:hAnsi="Arial"/>
          <w:sz w:val="22"/>
          <w:szCs w:val="22"/>
          <w:b w:val="1"/>
          <w:bCs w:val="1"/>
          <w:color w:val="auto"/>
        </w:rPr>
      </w:pPr>
      <w:r>
        <w:rPr>
          <w:rFonts w:ascii="MS PGothic" w:cs="MS PGothic" w:eastAsia="MS PGothic" w:hAnsi="MS PGothic"/>
          <w:sz w:val="21"/>
          <w:szCs w:val="21"/>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700" w:hanging="695"/>
        <w:spacing w:after="0"/>
        <w:tabs>
          <w:tab w:leader="none" w:pos="7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700" w:hanging="695"/>
        <w:spacing w:after="0" w:line="233" w:lineRule="auto"/>
        <w:tabs>
          <w:tab w:leader="none" w:pos="7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-1422400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-1113790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13" w:right="239" w:bottom="1440" w:gutter="0" w:footer="0" w:header="0"/>
          <w:type w:val="continuous"/>
        </w:sectPr>
      </w:pP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59" w:hanging="459"/>
        <w:spacing w:after="0"/>
        <w:tabs>
          <w:tab w:leader="none" w:pos="459" w:val="left"/>
        </w:tabs>
        <w:numPr>
          <w:ilvl w:val="0"/>
          <w:numId w:val="16"/>
        </w:numPr>
        <w:rPr>
          <w:rFonts w:ascii="Arial" w:cs="Arial" w:eastAsia="Arial" w:hAnsi="Arial"/>
          <w:sz w:val="22"/>
          <w:szCs w:val="22"/>
          <w:color w:val="auto"/>
        </w:rPr>
      </w:pPr>
      <w:r>
        <w:rPr>
          <w:rFonts w:ascii="Arial" w:cs="Arial" w:eastAsia="Arial" w:hAnsi="Arial"/>
          <w:sz w:val="22"/>
          <w:szCs w:val="22"/>
          <w:color w:val="auto"/>
        </w:rPr>
        <w:t>Sole Voting Power</w:t>
      </w:r>
    </w:p>
    <w:p>
      <w:pPr>
        <w:ind w:left="45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14" w:lineRule="exact"/>
        <w:rPr>
          <w:rFonts w:ascii="Arial" w:cs="Arial" w:eastAsia="Arial" w:hAnsi="Arial"/>
          <w:sz w:val="22"/>
          <w:szCs w:val="22"/>
          <w:color w:val="auto"/>
        </w:rPr>
      </w:pPr>
    </w:p>
    <w:p>
      <w:pPr>
        <w:ind w:left="459" w:hanging="459"/>
        <w:spacing w:after="0"/>
        <w:tabs>
          <w:tab w:leader="none" w:pos="459" w:val="left"/>
        </w:tabs>
        <w:numPr>
          <w:ilvl w:val="0"/>
          <w:numId w:val="16"/>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173" w:lineRule="exact"/>
        <w:rPr>
          <w:rFonts w:ascii="Arial" w:cs="Arial" w:eastAsia="Arial" w:hAnsi="Arial"/>
          <w:sz w:val="22"/>
          <w:szCs w:val="22"/>
          <w:color w:val="auto"/>
        </w:rPr>
      </w:pPr>
    </w:p>
    <w:p>
      <w:pPr>
        <w:ind w:left="459" w:hanging="459"/>
        <w:spacing w:after="0"/>
        <w:tabs>
          <w:tab w:leader="none" w:pos="459" w:val="left"/>
        </w:tabs>
        <w:numPr>
          <w:ilvl w:val="0"/>
          <w:numId w:val="16"/>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27" w:lineRule="exact"/>
        <w:rPr>
          <w:rFonts w:ascii="Arial" w:cs="Arial" w:eastAsia="Arial" w:hAnsi="Arial"/>
          <w:sz w:val="22"/>
          <w:szCs w:val="22"/>
          <w:color w:val="auto"/>
        </w:rPr>
      </w:pPr>
    </w:p>
    <w:p>
      <w:pPr>
        <w:ind w:left="459" w:hanging="459"/>
        <w:spacing w:after="0"/>
        <w:tabs>
          <w:tab w:leader="none" w:pos="459" w:val="left"/>
        </w:tabs>
        <w:numPr>
          <w:ilvl w:val="0"/>
          <w:numId w:val="16"/>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7886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7886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-1067435</wp:posOffset>
            </wp:positionV>
            <wp:extent cx="57886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20" w:space="681"/>
            <w:col w:w="9019"/>
          </w:cols>
          <w:pgMar w:left="340" w:top="913" w:right="239" w:bottom="1440" w:gutter="0" w:footer="0" w:header="0"/>
          <w:type w:val="continuous"/>
        </w:sectPr>
      </w:pPr>
    </w:p>
    <w:p>
      <w:pPr>
        <w:ind w:left="700" w:hanging="695"/>
        <w:spacing w:after="0"/>
        <w:tabs>
          <w:tab w:leader="none" w:pos="7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tabs>
          <w:tab w:leader="none" w:pos="680" w:val="left"/>
          <w:tab w:leader="none" w:pos="1058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35" w:lineRule="exact"/>
        <w:rPr>
          <w:sz w:val="20"/>
          <w:szCs w:val="20"/>
          <w:color w:val="auto"/>
        </w:rPr>
      </w:pPr>
    </w:p>
    <w:p>
      <w:pPr>
        <w:ind w:left="700" w:hanging="695"/>
        <w:spacing w:after="0"/>
        <w:tabs>
          <w:tab w:leader="none" w:pos="7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5.7% (3)</w:t>
      </w:r>
    </w:p>
    <w:p>
      <w:pPr>
        <w:spacing w:after="0" w:line="4" w:lineRule="exact"/>
        <w:rPr>
          <w:rFonts w:ascii="Arial" w:cs="Arial" w:eastAsia="Arial" w:hAnsi="Arial"/>
          <w:sz w:val="22"/>
          <w:szCs w:val="22"/>
          <w:color w:val="auto"/>
        </w:rPr>
      </w:pPr>
    </w:p>
    <w:p>
      <w:pPr>
        <w:ind w:left="700" w:hanging="695"/>
        <w:spacing w:after="0" w:line="236" w:lineRule="auto"/>
        <w:tabs>
          <w:tab w:leader="none" w:pos="7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700"/>
        <w:spacing w:after="0"/>
        <w:rPr>
          <w:rFonts w:ascii="Arial" w:cs="Arial" w:eastAsia="Arial" w:hAnsi="Arial"/>
          <w:sz w:val="22"/>
          <w:szCs w:val="22"/>
          <w:color w:val="auto"/>
        </w:rPr>
      </w:pPr>
      <w:r>
        <w:rPr>
          <w:rFonts w:ascii="Arial" w:cs="Arial" w:eastAsia="Arial" w:hAnsi="Arial"/>
          <w:sz w:val="22"/>
          <w:szCs w:val="22"/>
          <w:b w:val="1"/>
          <w:bCs w:val="1"/>
          <w:color w:val="auto"/>
        </w:rPr>
        <w:t>OO</w:t>
      </w:r>
    </w:p>
    <w:p>
      <w:pPr>
        <w:spacing w:after="0" w:line="231" w:lineRule="exact"/>
        <w:rPr>
          <w:rFonts w:ascii="Arial" w:cs="Arial" w:eastAsia="Arial" w:hAnsi="Arial"/>
          <w:sz w:val="22"/>
          <w:szCs w:val="22"/>
          <w:color w:val="auto"/>
        </w:rPr>
      </w:pPr>
    </w:p>
    <w:p>
      <w:pPr>
        <w:ind w:left="560" w:hanging="247"/>
        <w:spacing w:after="0"/>
        <w:tabs>
          <w:tab w:leader="none" w:pos="560" w:val="left"/>
        </w:tabs>
        <w:numPr>
          <w:ilvl w:val="1"/>
          <w:numId w:val="18"/>
        </w:numPr>
        <w:rPr>
          <w:rFonts w:ascii="Arial" w:cs="Arial" w:eastAsia="Arial" w:hAnsi="Arial"/>
          <w:sz w:val="14"/>
          <w:szCs w:val="14"/>
          <w:color w:val="auto"/>
        </w:rPr>
      </w:pPr>
      <w:r>
        <w:rPr>
          <w:rFonts w:ascii="Arial" w:cs="Arial" w:eastAsia="Arial" w:hAnsi="Arial"/>
          <w:sz w:val="14"/>
          <w:szCs w:val="14"/>
          <w:color w:val="auto"/>
        </w:rPr>
        <w:t>This statement on Schedule 13G is filed by the Reporting Persons. The Reporting Persons expressly disclaim status as a “group” for purposes of this Schedule 13G.</w:t>
      </w:r>
    </w:p>
    <w:p>
      <w:pPr>
        <w:jc w:val="both"/>
        <w:ind w:left="560" w:hanging="247"/>
        <w:spacing w:after="0" w:line="221" w:lineRule="auto"/>
        <w:tabs>
          <w:tab w:leader="none" w:pos="560" w:val="left"/>
        </w:tabs>
        <w:numPr>
          <w:ilvl w:val="1"/>
          <w:numId w:val="18"/>
        </w:numPr>
        <w:rPr>
          <w:rFonts w:ascii="Arial" w:cs="Arial" w:eastAsia="Arial" w:hAnsi="Arial"/>
          <w:sz w:val="14"/>
          <w:szCs w:val="14"/>
          <w:color w:val="auto"/>
        </w:rPr>
      </w:pPr>
      <w:r>
        <w:rPr>
          <w:rFonts w:ascii="Arial" w:cs="Arial" w:eastAsia="Arial" w:hAnsi="Arial"/>
          <w:sz w:val="14"/>
          <w:szCs w:val="14"/>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4"/>
          <w:szCs w:val="14"/>
          <w:color w:val="auto"/>
        </w:rPr>
      </w:pPr>
    </w:p>
    <w:p>
      <w:pPr>
        <w:ind w:left="560" w:right="20" w:hanging="247"/>
        <w:spacing w:after="0" w:line="237" w:lineRule="auto"/>
        <w:tabs>
          <w:tab w:leader="none" w:pos="560" w:val="left"/>
        </w:tabs>
        <w:numPr>
          <w:ilvl w:val="1"/>
          <w:numId w:val="18"/>
        </w:numPr>
        <w:rPr>
          <w:rFonts w:ascii="Arial" w:cs="Arial" w:eastAsia="Arial" w:hAnsi="Arial"/>
          <w:sz w:val="14"/>
          <w:szCs w:val="14"/>
          <w:color w:val="auto"/>
        </w:rPr>
      </w:pPr>
      <w:r>
        <w:rPr>
          <w:rFonts w:ascii="Arial" w:cs="Arial" w:eastAsia="Arial" w:hAnsi="Arial"/>
          <w:sz w:val="14"/>
          <w:szCs w:val="14"/>
          <w:color w:val="auto"/>
        </w:rPr>
        <w:t>The percentages set forth on the cover sheets are calculated based on 66,654,589 shares of Common Stock reported to be outstanding as of November 8, 2019 as set forth in the Issuer’s Form 10-Q for the period ended September 30, 2019 as filed with the Securities and Exchange Commission (“SEC”)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-925830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-1243330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-1551940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377190</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340" w:top="913" w:right="239" w:bottom="1440" w:gutter="0" w:footer="0" w:header="0"/>
          <w:type w:val="continuous"/>
        </w:sectPr>
      </w:pPr>
    </w:p>
    <w:bookmarkStart w:id="5" w:name="page6"/>
    <w:bookmarkEnd w:id="5"/>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13G</w:t>
      </w:r>
    </w:p>
    <w:p>
      <w:pPr>
        <w:spacing w:after="0" w:line="328" w:lineRule="exact"/>
        <w:rPr>
          <w:sz w:val="20"/>
          <w:szCs w:val="20"/>
          <w:color w:val="auto"/>
        </w:rPr>
      </w:pPr>
    </w:p>
    <w:p>
      <w:pPr>
        <w:sectPr>
          <w:pgSz w:w="11900" w:h="16838" w:orient="portrait"/>
          <w:cols w:equalWidth="0" w:num="2">
            <w:col w:w="4780" w:space="720"/>
            <w:col w:w="5820"/>
          </w:cols>
          <w:pgMar w:left="340" w:top="1170" w:right="239" w:bottom="1440" w:gutter="0" w:footer="0" w:header="0"/>
        </w:sectPr>
      </w:pPr>
    </w:p>
    <w:p>
      <w:pPr>
        <w:spacing w:after="0" w:line="261" w:lineRule="exact"/>
        <w:rPr>
          <w:sz w:val="20"/>
          <w:szCs w:val="20"/>
          <w:color w:val="auto"/>
        </w:rPr>
      </w:pPr>
    </w:p>
    <w:p>
      <w:pPr>
        <w:ind w:left="700" w:hanging="695"/>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Joshua Ruch</w:t>
      </w:r>
    </w:p>
    <w:p>
      <w:pPr>
        <w:spacing w:after="0" w:line="4" w:lineRule="exact"/>
        <w:rPr>
          <w:rFonts w:ascii="Arial" w:cs="Arial" w:eastAsia="Arial" w:hAnsi="Arial"/>
          <w:sz w:val="22"/>
          <w:szCs w:val="22"/>
          <w:color w:val="auto"/>
        </w:rPr>
      </w:pPr>
    </w:p>
    <w:p>
      <w:pPr>
        <w:ind w:left="700" w:hanging="695"/>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100" w:hanging="406"/>
        <w:spacing w:after="0" w:line="253" w:lineRule="exact"/>
        <w:tabs>
          <w:tab w:leader="none" w:pos="1100" w:val="left"/>
        </w:tabs>
        <w:numPr>
          <w:ilvl w:val="1"/>
          <w:numId w:val="19"/>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120" w:hanging="426"/>
        <w:spacing w:after="0" w:line="253" w:lineRule="exact"/>
        <w:tabs>
          <w:tab w:leader="none" w:pos="1120" w:val="left"/>
        </w:tabs>
        <w:numPr>
          <w:ilvl w:val="1"/>
          <w:numId w:val="19"/>
        </w:numPr>
        <w:rPr>
          <w:rFonts w:ascii="Arial" w:cs="Arial" w:eastAsia="Arial" w:hAnsi="Arial"/>
          <w:sz w:val="22"/>
          <w:szCs w:val="22"/>
          <w:b w:val="1"/>
          <w:bCs w:val="1"/>
          <w:color w:val="auto"/>
        </w:rPr>
      </w:pPr>
      <w:r>
        <w:rPr>
          <w:rFonts w:ascii="MS PGothic" w:cs="MS PGothic" w:eastAsia="MS PGothic" w:hAnsi="MS PGothic"/>
          <w:sz w:val="21"/>
          <w:szCs w:val="21"/>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700" w:hanging="695"/>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700" w:hanging="695"/>
        <w:spacing w:after="0" w:line="233" w:lineRule="auto"/>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-1422400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-1113790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1170" w:right="239" w:bottom="1440" w:gutter="0" w:footer="0" w:header="0"/>
          <w:type w:val="continuous"/>
        </w:sectPr>
      </w:pP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59" w:hanging="459"/>
        <w:spacing w:after="0"/>
        <w:tabs>
          <w:tab w:leader="none" w:pos="459" w:val="left"/>
        </w:tabs>
        <w:numPr>
          <w:ilvl w:val="0"/>
          <w:numId w:val="20"/>
        </w:numPr>
        <w:rPr>
          <w:rFonts w:ascii="Arial" w:cs="Arial" w:eastAsia="Arial" w:hAnsi="Arial"/>
          <w:sz w:val="22"/>
          <w:szCs w:val="22"/>
          <w:color w:val="auto"/>
        </w:rPr>
      </w:pPr>
      <w:r>
        <w:rPr>
          <w:rFonts w:ascii="Arial" w:cs="Arial" w:eastAsia="Arial" w:hAnsi="Arial"/>
          <w:sz w:val="22"/>
          <w:szCs w:val="22"/>
          <w:color w:val="auto"/>
        </w:rPr>
        <w:t>Sole Voting Power</w:t>
      </w:r>
    </w:p>
    <w:p>
      <w:pPr>
        <w:spacing w:after="0" w:line="356" w:lineRule="exact"/>
        <w:rPr>
          <w:rFonts w:ascii="Arial" w:cs="Arial" w:eastAsia="Arial" w:hAnsi="Arial"/>
          <w:sz w:val="22"/>
          <w:szCs w:val="22"/>
          <w:color w:val="auto"/>
        </w:rPr>
      </w:pPr>
    </w:p>
    <w:p>
      <w:pPr>
        <w:ind w:left="459" w:hanging="459"/>
        <w:spacing w:after="0"/>
        <w:tabs>
          <w:tab w:leader="none" w:pos="459" w:val="left"/>
        </w:tabs>
        <w:numPr>
          <w:ilvl w:val="0"/>
          <w:numId w:val="20"/>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160" w:lineRule="exact"/>
        <w:rPr>
          <w:rFonts w:ascii="Arial" w:cs="Arial" w:eastAsia="Arial" w:hAnsi="Arial"/>
          <w:sz w:val="22"/>
          <w:szCs w:val="22"/>
          <w:color w:val="auto"/>
        </w:rPr>
      </w:pPr>
    </w:p>
    <w:p>
      <w:pPr>
        <w:ind w:left="459" w:hanging="459"/>
        <w:spacing w:after="0"/>
        <w:tabs>
          <w:tab w:leader="none" w:pos="459" w:val="left"/>
        </w:tabs>
        <w:numPr>
          <w:ilvl w:val="0"/>
          <w:numId w:val="20"/>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368" w:lineRule="exact"/>
        <w:rPr>
          <w:rFonts w:ascii="Arial" w:cs="Arial" w:eastAsia="Arial" w:hAnsi="Arial"/>
          <w:sz w:val="22"/>
          <w:szCs w:val="22"/>
          <w:color w:val="auto"/>
        </w:rPr>
      </w:pPr>
    </w:p>
    <w:p>
      <w:pPr>
        <w:ind w:left="459" w:hanging="459"/>
        <w:spacing w:after="0"/>
        <w:tabs>
          <w:tab w:leader="none" w:pos="459" w:val="left"/>
        </w:tabs>
        <w:numPr>
          <w:ilvl w:val="0"/>
          <w:numId w:val="20"/>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7886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7886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-1059180</wp:posOffset>
            </wp:positionV>
            <wp:extent cx="57886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20" w:space="681"/>
            <w:col w:w="9019"/>
          </w:cols>
          <w:pgMar w:left="340" w:top="1170" w:right="239" w:bottom="1440" w:gutter="0" w:footer="0" w:header="0"/>
          <w:type w:val="continuous"/>
        </w:sectPr>
      </w:pPr>
    </w:p>
    <w:p>
      <w:pPr>
        <w:ind w:left="700" w:hanging="695"/>
        <w:spacing w:after="0"/>
        <w:tabs>
          <w:tab w:leader="none" w:pos="7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tabs>
          <w:tab w:leader="none" w:pos="680" w:val="left"/>
          <w:tab w:leader="none" w:pos="1058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35" w:lineRule="exact"/>
        <w:rPr>
          <w:sz w:val="20"/>
          <w:szCs w:val="20"/>
          <w:color w:val="auto"/>
        </w:rPr>
      </w:pPr>
    </w:p>
    <w:p>
      <w:pPr>
        <w:ind w:left="700" w:hanging="695"/>
        <w:spacing w:after="0"/>
        <w:tabs>
          <w:tab w:leader="none" w:pos="7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5.7% (3)</w:t>
      </w:r>
    </w:p>
    <w:p>
      <w:pPr>
        <w:spacing w:after="0" w:line="4" w:lineRule="exact"/>
        <w:rPr>
          <w:rFonts w:ascii="Arial" w:cs="Arial" w:eastAsia="Arial" w:hAnsi="Arial"/>
          <w:sz w:val="22"/>
          <w:szCs w:val="22"/>
          <w:color w:val="auto"/>
        </w:rPr>
      </w:pPr>
    </w:p>
    <w:p>
      <w:pPr>
        <w:ind w:left="700" w:hanging="695"/>
        <w:spacing w:after="0" w:line="236" w:lineRule="auto"/>
        <w:tabs>
          <w:tab w:leader="none" w:pos="7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700"/>
        <w:spacing w:after="0"/>
        <w:rPr>
          <w:rFonts w:ascii="Arial" w:cs="Arial" w:eastAsia="Arial" w:hAnsi="Arial"/>
          <w:sz w:val="22"/>
          <w:szCs w:val="22"/>
          <w:color w:val="auto"/>
        </w:rPr>
      </w:pPr>
      <w:r>
        <w:rPr>
          <w:rFonts w:ascii="Arial" w:cs="Arial" w:eastAsia="Arial" w:hAnsi="Arial"/>
          <w:sz w:val="22"/>
          <w:szCs w:val="22"/>
          <w:b w:val="1"/>
          <w:bCs w:val="1"/>
          <w:color w:val="auto"/>
        </w:rPr>
        <w:t>IN</w:t>
      </w:r>
    </w:p>
    <w:p>
      <w:pPr>
        <w:spacing w:after="0" w:line="231" w:lineRule="exact"/>
        <w:rPr>
          <w:rFonts w:ascii="Arial" w:cs="Arial" w:eastAsia="Arial" w:hAnsi="Arial"/>
          <w:sz w:val="22"/>
          <w:szCs w:val="22"/>
          <w:color w:val="auto"/>
        </w:rPr>
      </w:pPr>
    </w:p>
    <w:p>
      <w:pPr>
        <w:ind w:left="560" w:hanging="247"/>
        <w:spacing w:after="0"/>
        <w:tabs>
          <w:tab w:leader="none" w:pos="5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This statement on Schedule 13G is filed by the Reporting Persons. The Reporting Persons expressly disclaim status as a “group” for purposes of this Schedule 13G.</w:t>
      </w:r>
    </w:p>
    <w:p>
      <w:pPr>
        <w:jc w:val="both"/>
        <w:ind w:left="560" w:hanging="247"/>
        <w:spacing w:after="0" w:line="221" w:lineRule="auto"/>
        <w:tabs>
          <w:tab w:leader="none" w:pos="5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4"/>
          <w:szCs w:val="14"/>
          <w:color w:val="auto"/>
        </w:rPr>
      </w:pPr>
    </w:p>
    <w:p>
      <w:pPr>
        <w:ind w:left="560" w:right="20" w:hanging="247"/>
        <w:spacing w:after="0" w:line="237" w:lineRule="auto"/>
        <w:tabs>
          <w:tab w:leader="none" w:pos="5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The percentages set forth on the cover sheets are calculated based on 66,654,589 shares of Common Stock reported to be outstanding as of November 8, 2019 as set forth in the Issuer’s Form 10-Q for the period ended September 30, 2019 as filed with the Securities and Exchange Commission (“SEC”)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-925830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-1243330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-1551940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299720</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340" w:top="1170" w:right="239" w:bottom="1440" w:gutter="0" w:footer="0" w:header="0"/>
          <w:type w:val="continuous"/>
        </w:sectPr>
      </w:pPr>
    </w:p>
    <w:bookmarkStart w:id="6" w:name="page7"/>
    <w:bookmarkEnd w:id="6"/>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13G</w:t>
      </w:r>
    </w:p>
    <w:p>
      <w:pPr>
        <w:spacing w:after="0" w:line="328" w:lineRule="exact"/>
        <w:rPr>
          <w:sz w:val="20"/>
          <w:szCs w:val="20"/>
          <w:color w:val="auto"/>
        </w:rPr>
      </w:pPr>
    </w:p>
    <w:p>
      <w:pPr>
        <w:sectPr>
          <w:pgSz w:w="11900" w:h="16838" w:orient="portrait"/>
          <w:cols w:equalWidth="0" w:num="2">
            <w:col w:w="4780" w:space="720"/>
            <w:col w:w="5820"/>
          </w:cols>
          <w:pgMar w:left="340" w:top="913" w:right="239" w:bottom="1440" w:gutter="0" w:footer="0" w:header="0"/>
        </w:sectPr>
      </w:pPr>
    </w:p>
    <w:p>
      <w:pPr>
        <w:spacing w:after="0" w:line="261" w:lineRule="exact"/>
        <w:rPr>
          <w:sz w:val="20"/>
          <w:szCs w:val="20"/>
          <w:color w:val="auto"/>
        </w:rPr>
      </w:pPr>
    </w:p>
    <w:p>
      <w:pPr>
        <w:ind w:left="700" w:hanging="695"/>
        <w:spacing w:after="0"/>
        <w:tabs>
          <w:tab w:leader="none" w:pos="7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Mark Leschly</w:t>
      </w:r>
    </w:p>
    <w:p>
      <w:pPr>
        <w:spacing w:after="0" w:line="4" w:lineRule="exact"/>
        <w:rPr>
          <w:rFonts w:ascii="Arial" w:cs="Arial" w:eastAsia="Arial" w:hAnsi="Arial"/>
          <w:sz w:val="22"/>
          <w:szCs w:val="22"/>
          <w:color w:val="auto"/>
        </w:rPr>
      </w:pPr>
    </w:p>
    <w:p>
      <w:pPr>
        <w:ind w:left="700" w:hanging="695"/>
        <w:spacing w:after="0"/>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100" w:hanging="406"/>
        <w:spacing w:after="0" w:line="253" w:lineRule="exact"/>
        <w:tabs>
          <w:tab w:leader="none" w:pos="1100" w:val="left"/>
        </w:tabs>
        <w:numPr>
          <w:ilvl w:val="1"/>
          <w:numId w:val="23"/>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120" w:hanging="426"/>
        <w:spacing w:after="0" w:line="253" w:lineRule="exact"/>
        <w:tabs>
          <w:tab w:leader="none" w:pos="1120" w:val="left"/>
        </w:tabs>
        <w:numPr>
          <w:ilvl w:val="1"/>
          <w:numId w:val="23"/>
        </w:numPr>
        <w:rPr>
          <w:rFonts w:ascii="Arial" w:cs="Arial" w:eastAsia="Arial" w:hAnsi="Arial"/>
          <w:sz w:val="22"/>
          <w:szCs w:val="22"/>
          <w:b w:val="1"/>
          <w:bCs w:val="1"/>
          <w:color w:val="auto"/>
        </w:rPr>
      </w:pPr>
      <w:r>
        <w:rPr>
          <w:rFonts w:ascii="MS PGothic" w:cs="MS PGothic" w:eastAsia="MS PGothic" w:hAnsi="MS PGothic"/>
          <w:sz w:val="21"/>
          <w:szCs w:val="21"/>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700" w:hanging="695"/>
        <w:spacing w:after="0"/>
        <w:tabs>
          <w:tab w:leader="none" w:pos="7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700" w:hanging="695"/>
        <w:spacing w:after="0" w:line="233" w:lineRule="auto"/>
        <w:tabs>
          <w:tab w:leader="none" w:pos="7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Kingdom of 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-1422400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-1113790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13" w:right="239" w:bottom="1440" w:gutter="0" w:footer="0" w:header="0"/>
          <w:type w:val="continuous"/>
        </w:sectPr>
      </w:pP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59" w:hanging="459"/>
        <w:spacing w:after="0"/>
        <w:tabs>
          <w:tab w:leader="none" w:pos="459" w:val="left"/>
        </w:tabs>
        <w:numPr>
          <w:ilvl w:val="0"/>
          <w:numId w:val="24"/>
        </w:numPr>
        <w:rPr>
          <w:rFonts w:ascii="Arial" w:cs="Arial" w:eastAsia="Arial" w:hAnsi="Arial"/>
          <w:sz w:val="22"/>
          <w:szCs w:val="22"/>
          <w:color w:val="auto"/>
        </w:rPr>
      </w:pPr>
      <w:r>
        <w:rPr>
          <w:rFonts w:ascii="Arial" w:cs="Arial" w:eastAsia="Arial" w:hAnsi="Arial"/>
          <w:sz w:val="22"/>
          <w:szCs w:val="22"/>
          <w:color w:val="auto"/>
        </w:rPr>
        <w:t>Sole Voting Power</w:t>
      </w:r>
    </w:p>
    <w:p>
      <w:pPr>
        <w:ind w:left="459"/>
        <w:spacing w:after="0"/>
        <w:rPr>
          <w:rFonts w:ascii="Arial" w:cs="Arial" w:eastAsia="Arial" w:hAnsi="Arial"/>
          <w:sz w:val="22"/>
          <w:szCs w:val="22"/>
          <w:color w:val="auto"/>
        </w:rPr>
      </w:pPr>
      <w:r>
        <w:rPr>
          <w:rFonts w:ascii="Arial" w:cs="Arial" w:eastAsia="Arial" w:hAnsi="Arial"/>
          <w:sz w:val="20"/>
          <w:szCs w:val="20"/>
          <w:b w:val="1"/>
          <w:bCs w:val="1"/>
          <w:color w:val="auto"/>
        </w:rPr>
        <w:t>18,000 (2)</w:t>
      </w:r>
    </w:p>
    <w:p>
      <w:pPr>
        <w:spacing w:after="0" w:line="114" w:lineRule="exact"/>
        <w:rPr>
          <w:rFonts w:ascii="Arial" w:cs="Arial" w:eastAsia="Arial" w:hAnsi="Arial"/>
          <w:sz w:val="22"/>
          <w:szCs w:val="22"/>
          <w:color w:val="auto"/>
        </w:rPr>
      </w:pPr>
    </w:p>
    <w:p>
      <w:pPr>
        <w:ind w:left="459" w:hanging="459"/>
        <w:spacing w:after="0"/>
        <w:tabs>
          <w:tab w:leader="none" w:pos="459" w:val="left"/>
        </w:tabs>
        <w:numPr>
          <w:ilvl w:val="0"/>
          <w:numId w:val="24"/>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(3)</w:t>
      </w:r>
    </w:p>
    <w:p>
      <w:pPr>
        <w:spacing w:after="0" w:line="173" w:lineRule="exact"/>
        <w:rPr>
          <w:rFonts w:ascii="Arial" w:cs="Arial" w:eastAsia="Arial" w:hAnsi="Arial"/>
          <w:sz w:val="22"/>
          <w:szCs w:val="22"/>
          <w:color w:val="auto"/>
        </w:rPr>
      </w:pPr>
    </w:p>
    <w:p>
      <w:pPr>
        <w:ind w:left="459" w:hanging="459"/>
        <w:spacing w:after="0"/>
        <w:tabs>
          <w:tab w:leader="none" w:pos="459" w:val="left"/>
        </w:tabs>
        <w:numPr>
          <w:ilvl w:val="0"/>
          <w:numId w:val="24"/>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20"/>
          <w:szCs w:val="20"/>
          <w:b w:val="1"/>
          <w:bCs w:val="1"/>
          <w:color w:val="auto"/>
        </w:rPr>
        <w:t>18,000 (2)</w:t>
      </w:r>
    </w:p>
    <w:p>
      <w:pPr>
        <w:spacing w:after="0" w:line="127" w:lineRule="exact"/>
        <w:rPr>
          <w:rFonts w:ascii="Arial" w:cs="Arial" w:eastAsia="Arial" w:hAnsi="Arial"/>
          <w:sz w:val="22"/>
          <w:szCs w:val="22"/>
          <w:color w:val="auto"/>
        </w:rPr>
      </w:pPr>
    </w:p>
    <w:p>
      <w:pPr>
        <w:ind w:left="459" w:hanging="459"/>
        <w:spacing w:after="0"/>
        <w:tabs>
          <w:tab w:leader="none" w:pos="459" w:val="left"/>
        </w:tabs>
        <w:numPr>
          <w:ilvl w:val="0"/>
          <w:numId w:val="24"/>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7886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7886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-1067435</wp:posOffset>
            </wp:positionV>
            <wp:extent cx="57886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20" w:space="681"/>
            <w:col w:w="9019"/>
          </w:cols>
          <w:pgMar w:left="340" w:top="913" w:right="239" w:bottom="1440" w:gutter="0" w:footer="0" w:header="0"/>
          <w:type w:val="continuous"/>
        </w:sectPr>
      </w:pPr>
    </w:p>
    <w:p>
      <w:pPr>
        <w:ind w:left="700" w:hanging="695"/>
        <w:spacing w:after="0"/>
        <w:tabs>
          <w:tab w:leader="none" w:pos="7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3,784,666 shares of Common Stock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tabs>
          <w:tab w:leader="none" w:pos="680" w:val="left"/>
          <w:tab w:leader="none" w:pos="1058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35" w:lineRule="exact"/>
        <w:rPr>
          <w:sz w:val="20"/>
          <w:szCs w:val="20"/>
          <w:color w:val="auto"/>
        </w:rPr>
      </w:pPr>
    </w:p>
    <w:p>
      <w:pPr>
        <w:ind w:left="700" w:hanging="695"/>
        <w:spacing w:after="0"/>
        <w:tabs>
          <w:tab w:leader="none" w:pos="7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5.7% (4)</w:t>
      </w:r>
    </w:p>
    <w:p>
      <w:pPr>
        <w:spacing w:after="0" w:line="4" w:lineRule="exact"/>
        <w:rPr>
          <w:rFonts w:ascii="Arial" w:cs="Arial" w:eastAsia="Arial" w:hAnsi="Arial"/>
          <w:sz w:val="22"/>
          <w:szCs w:val="22"/>
          <w:color w:val="auto"/>
        </w:rPr>
      </w:pPr>
    </w:p>
    <w:p>
      <w:pPr>
        <w:ind w:left="700" w:hanging="695"/>
        <w:spacing w:after="0" w:line="236" w:lineRule="auto"/>
        <w:tabs>
          <w:tab w:leader="none" w:pos="7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700"/>
        <w:spacing w:after="0"/>
        <w:rPr>
          <w:rFonts w:ascii="Arial" w:cs="Arial" w:eastAsia="Arial" w:hAnsi="Arial"/>
          <w:sz w:val="22"/>
          <w:szCs w:val="22"/>
          <w:color w:val="auto"/>
        </w:rPr>
      </w:pPr>
      <w:r>
        <w:rPr>
          <w:rFonts w:ascii="Arial" w:cs="Arial" w:eastAsia="Arial" w:hAnsi="Arial"/>
          <w:sz w:val="22"/>
          <w:szCs w:val="22"/>
          <w:b w:val="1"/>
          <w:bCs w:val="1"/>
          <w:color w:val="auto"/>
        </w:rPr>
        <w:t>IN</w:t>
      </w:r>
    </w:p>
    <w:p>
      <w:pPr>
        <w:spacing w:after="0" w:line="231" w:lineRule="exact"/>
        <w:rPr>
          <w:rFonts w:ascii="Arial" w:cs="Arial" w:eastAsia="Arial" w:hAnsi="Arial"/>
          <w:sz w:val="22"/>
          <w:szCs w:val="22"/>
          <w:color w:val="auto"/>
        </w:rPr>
      </w:pPr>
    </w:p>
    <w:p>
      <w:pPr>
        <w:ind w:left="560" w:hanging="247"/>
        <w:spacing w:after="0"/>
        <w:tabs>
          <w:tab w:leader="none" w:pos="5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This statement on Schedule 13G is filed by the Reporting Persons. The Reporting Persons expressly disclaim status as a “group” for purposes of this Schedule 13G.</w:t>
      </w:r>
    </w:p>
    <w:p>
      <w:pPr>
        <w:ind w:left="560" w:hanging="247"/>
        <w:spacing w:after="0" w:line="221" w:lineRule="auto"/>
        <w:tabs>
          <w:tab w:leader="none" w:pos="5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Includes options to purchase 18,000 shares of Common Stock which are presently exercisable or exercisable within sixty days of February 11, 2020.</w:t>
      </w:r>
    </w:p>
    <w:p>
      <w:pPr>
        <w:jc w:val="both"/>
        <w:ind w:left="560" w:hanging="247"/>
        <w:spacing w:after="0" w:line="221" w:lineRule="auto"/>
        <w:tabs>
          <w:tab w:leader="none" w:pos="5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4"/>
          <w:szCs w:val="14"/>
          <w:color w:val="auto"/>
        </w:rPr>
      </w:pPr>
    </w:p>
    <w:p>
      <w:pPr>
        <w:ind w:left="560" w:right="20" w:hanging="247"/>
        <w:spacing w:after="0" w:line="237" w:lineRule="auto"/>
        <w:tabs>
          <w:tab w:leader="none" w:pos="5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The percentages set forth on the cover sheets are calculated based on 66,654,589 shares of Common Stock reported to be outstanding as of November 8, 2019 as set forth in the Issuer’s Form 10-Q for the period ended September 30, 2019 as filed with the Securities and Exchange Commission (“SEC”)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-1020445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-1337310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-1646555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299720</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340" w:top="913" w:right="239" w:bottom="1440" w:gutter="0" w:footer="0" w:header="0"/>
          <w:type w:val="continuous"/>
        </w:sectPr>
      </w:pPr>
    </w:p>
    <w:bookmarkStart w:id="7" w:name="page8"/>
    <w:bookmarkEnd w:id="7"/>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13G</w:t>
      </w:r>
    </w:p>
    <w:p>
      <w:pPr>
        <w:spacing w:after="0" w:line="328" w:lineRule="exact"/>
        <w:rPr>
          <w:sz w:val="20"/>
          <w:szCs w:val="20"/>
          <w:color w:val="auto"/>
        </w:rPr>
      </w:pPr>
    </w:p>
    <w:p>
      <w:pPr>
        <w:sectPr>
          <w:pgSz w:w="11900" w:h="16838" w:orient="portrait"/>
          <w:cols w:equalWidth="0" w:num="2">
            <w:col w:w="4780" w:space="720"/>
            <w:col w:w="5820"/>
          </w:cols>
          <w:pgMar w:left="340" w:top="819" w:right="239" w:bottom="1440" w:gutter="0" w:footer="0" w:header="0"/>
        </w:sectPr>
      </w:pPr>
    </w:p>
    <w:p>
      <w:pPr>
        <w:spacing w:after="0" w:line="261" w:lineRule="exact"/>
        <w:rPr>
          <w:sz w:val="20"/>
          <w:szCs w:val="20"/>
          <w:color w:val="auto"/>
        </w:rPr>
      </w:pPr>
    </w:p>
    <w:p>
      <w:pPr>
        <w:ind w:left="700" w:hanging="695"/>
        <w:spacing w:after="0"/>
        <w:tabs>
          <w:tab w:leader="none" w:pos="7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Habib Kairouz</w:t>
      </w:r>
    </w:p>
    <w:p>
      <w:pPr>
        <w:spacing w:after="0" w:line="4" w:lineRule="exact"/>
        <w:rPr>
          <w:rFonts w:ascii="Arial" w:cs="Arial" w:eastAsia="Arial" w:hAnsi="Arial"/>
          <w:sz w:val="22"/>
          <w:szCs w:val="22"/>
          <w:color w:val="auto"/>
        </w:rPr>
      </w:pPr>
    </w:p>
    <w:p>
      <w:pPr>
        <w:ind w:left="700" w:hanging="695"/>
        <w:spacing w:after="0"/>
        <w:tabs>
          <w:tab w:leader="none" w:pos="7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100" w:hanging="406"/>
        <w:spacing w:after="0" w:line="253" w:lineRule="exact"/>
        <w:tabs>
          <w:tab w:leader="none" w:pos="1100" w:val="left"/>
        </w:tabs>
        <w:numPr>
          <w:ilvl w:val="1"/>
          <w:numId w:val="27"/>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120" w:hanging="426"/>
        <w:spacing w:after="0" w:line="253" w:lineRule="exact"/>
        <w:tabs>
          <w:tab w:leader="none" w:pos="1120" w:val="left"/>
        </w:tabs>
        <w:numPr>
          <w:ilvl w:val="1"/>
          <w:numId w:val="27"/>
        </w:numPr>
        <w:rPr>
          <w:rFonts w:ascii="Arial" w:cs="Arial" w:eastAsia="Arial" w:hAnsi="Arial"/>
          <w:sz w:val="22"/>
          <w:szCs w:val="22"/>
          <w:b w:val="1"/>
          <w:bCs w:val="1"/>
          <w:color w:val="auto"/>
        </w:rPr>
      </w:pPr>
      <w:r>
        <w:rPr>
          <w:rFonts w:ascii="MS PGothic" w:cs="MS PGothic" w:eastAsia="MS PGothic" w:hAnsi="MS PGothic"/>
          <w:sz w:val="21"/>
          <w:szCs w:val="21"/>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700" w:hanging="695"/>
        <w:spacing w:after="0"/>
        <w:tabs>
          <w:tab w:leader="none" w:pos="7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700" w:hanging="695"/>
        <w:spacing w:after="0" w:line="233" w:lineRule="auto"/>
        <w:tabs>
          <w:tab w:leader="none" w:pos="7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-1422400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-1113790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819" w:right="239" w:bottom="1440" w:gutter="0" w:footer="0" w:header="0"/>
          <w:type w:val="continuous"/>
        </w:sectPr>
      </w:pP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59" w:hanging="459"/>
        <w:spacing w:after="0"/>
        <w:tabs>
          <w:tab w:leader="none" w:pos="459" w:val="left"/>
        </w:tabs>
        <w:numPr>
          <w:ilvl w:val="0"/>
          <w:numId w:val="28"/>
        </w:numPr>
        <w:rPr>
          <w:rFonts w:ascii="Arial" w:cs="Arial" w:eastAsia="Arial" w:hAnsi="Arial"/>
          <w:sz w:val="22"/>
          <w:szCs w:val="22"/>
          <w:color w:val="auto"/>
        </w:rPr>
      </w:pPr>
      <w:r>
        <w:rPr>
          <w:rFonts w:ascii="Arial" w:cs="Arial" w:eastAsia="Arial" w:hAnsi="Arial"/>
          <w:sz w:val="22"/>
          <w:szCs w:val="22"/>
          <w:color w:val="auto"/>
        </w:rPr>
        <w:t>Sole Voting Power</w:t>
      </w:r>
    </w:p>
    <w:p>
      <w:pPr>
        <w:spacing w:after="0" w:line="356" w:lineRule="exact"/>
        <w:rPr>
          <w:rFonts w:ascii="Arial" w:cs="Arial" w:eastAsia="Arial" w:hAnsi="Arial"/>
          <w:sz w:val="22"/>
          <w:szCs w:val="22"/>
          <w:color w:val="auto"/>
        </w:rPr>
      </w:pPr>
    </w:p>
    <w:p>
      <w:pPr>
        <w:ind w:left="459" w:hanging="459"/>
        <w:spacing w:after="0"/>
        <w:tabs>
          <w:tab w:leader="none" w:pos="459" w:val="left"/>
        </w:tabs>
        <w:numPr>
          <w:ilvl w:val="0"/>
          <w:numId w:val="28"/>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160" w:lineRule="exact"/>
        <w:rPr>
          <w:rFonts w:ascii="Arial" w:cs="Arial" w:eastAsia="Arial" w:hAnsi="Arial"/>
          <w:sz w:val="22"/>
          <w:szCs w:val="22"/>
          <w:color w:val="auto"/>
        </w:rPr>
      </w:pPr>
    </w:p>
    <w:p>
      <w:pPr>
        <w:ind w:left="459" w:hanging="459"/>
        <w:spacing w:after="0"/>
        <w:tabs>
          <w:tab w:leader="none" w:pos="459" w:val="left"/>
        </w:tabs>
        <w:numPr>
          <w:ilvl w:val="0"/>
          <w:numId w:val="28"/>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368" w:lineRule="exact"/>
        <w:rPr>
          <w:rFonts w:ascii="Arial" w:cs="Arial" w:eastAsia="Arial" w:hAnsi="Arial"/>
          <w:sz w:val="22"/>
          <w:szCs w:val="22"/>
          <w:color w:val="auto"/>
        </w:rPr>
      </w:pPr>
    </w:p>
    <w:p>
      <w:pPr>
        <w:ind w:left="459" w:hanging="459"/>
        <w:spacing w:after="0"/>
        <w:tabs>
          <w:tab w:leader="none" w:pos="459" w:val="left"/>
        </w:tabs>
        <w:numPr>
          <w:ilvl w:val="0"/>
          <w:numId w:val="28"/>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5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7886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7886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-1059180</wp:posOffset>
            </wp:positionV>
            <wp:extent cx="57886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20" w:space="681"/>
            <w:col w:w="9019"/>
          </w:cols>
          <w:pgMar w:left="340" w:top="819" w:right="239" w:bottom="1440" w:gutter="0" w:footer="0" w:header="0"/>
          <w:type w:val="continuous"/>
        </w:sectPr>
      </w:pPr>
    </w:p>
    <w:p>
      <w:pPr>
        <w:ind w:left="700" w:hanging="695"/>
        <w:spacing w:after="0"/>
        <w:tabs>
          <w:tab w:leader="none" w:pos="7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tabs>
          <w:tab w:leader="none" w:pos="680" w:val="left"/>
          <w:tab w:leader="none" w:pos="1058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35" w:lineRule="exact"/>
        <w:rPr>
          <w:sz w:val="20"/>
          <w:szCs w:val="20"/>
          <w:color w:val="auto"/>
        </w:rPr>
      </w:pPr>
    </w:p>
    <w:p>
      <w:pPr>
        <w:ind w:left="700" w:hanging="695"/>
        <w:spacing w:after="0"/>
        <w:tabs>
          <w:tab w:leader="none" w:pos="7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0"/>
          <w:szCs w:val="20"/>
          <w:b w:val="1"/>
          <w:bCs w:val="1"/>
          <w:color w:val="auto"/>
        </w:rPr>
        <w:t>5.7% (3)</w:t>
      </w:r>
    </w:p>
    <w:p>
      <w:pPr>
        <w:spacing w:after="0" w:line="4" w:lineRule="exact"/>
        <w:rPr>
          <w:rFonts w:ascii="Arial" w:cs="Arial" w:eastAsia="Arial" w:hAnsi="Arial"/>
          <w:sz w:val="22"/>
          <w:szCs w:val="22"/>
          <w:color w:val="auto"/>
        </w:rPr>
      </w:pPr>
    </w:p>
    <w:p>
      <w:pPr>
        <w:ind w:left="700" w:hanging="695"/>
        <w:spacing w:after="0" w:line="236" w:lineRule="auto"/>
        <w:tabs>
          <w:tab w:leader="none" w:pos="7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700"/>
        <w:spacing w:after="0"/>
        <w:rPr>
          <w:rFonts w:ascii="Arial" w:cs="Arial" w:eastAsia="Arial" w:hAnsi="Arial"/>
          <w:sz w:val="22"/>
          <w:szCs w:val="22"/>
          <w:color w:val="auto"/>
        </w:rPr>
      </w:pPr>
      <w:r>
        <w:rPr>
          <w:rFonts w:ascii="Arial" w:cs="Arial" w:eastAsia="Arial" w:hAnsi="Arial"/>
          <w:sz w:val="22"/>
          <w:szCs w:val="22"/>
          <w:b w:val="1"/>
          <w:bCs w:val="1"/>
          <w:color w:val="auto"/>
        </w:rPr>
        <w:t>IN</w:t>
      </w:r>
    </w:p>
    <w:p>
      <w:pPr>
        <w:spacing w:after="0" w:line="231" w:lineRule="exact"/>
        <w:rPr>
          <w:rFonts w:ascii="Arial" w:cs="Arial" w:eastAsia="Arial" w:hAnsi="Arial"/>
          <w:sz w:val="22"/>
          <w:szCs w:val="22"/>
          <w:color w:val="auto"/>
        </w:rPr>
      </w:pPr>
    </w:p>
    <w:p>
      <w:pPr>
        <w:ind w:left="560" w:hanging="247"/>
        <w:spacing w:after="0"/>
        <w:tabs>
          <w:tab w:leader="none" w:pos="5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This statement on Schedule 13G is filed by the Reporting Persons. The Reporting Persons expressly disclaim status as a “group” for purposes of this Schedule 13G.</w:t>
      </w:r>
    </w:p>
    <w:p>
      <w:pPr>
        <w:jc w:val="both"/>
        <w:ind w:left="560" w:hanging="247"/>
        <w:spacing w:after="0" w:line="221" w:lineRule="auto"/>
        <w:tabs>
          <w:tab w:leader="none" w:pos="5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4"/>
          <w:szCs w:val="14"/>
          <w:color w:val="auto"/>
        </w:rPr>
      </w:pPr>
    </w:p>
    <w:p>
      <w:pPr>
        <w:ind w:left="560" w:right="20" w:hanging="247"/>
        <w:spacing w:after="0" w:line="237" w:lineRule="auto"/>
        <w:tabs>
          <w:tab w:leader="none" w:pos="5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percentages set forth on the cover sheets are calculated based on 66,654,589 shares of Common Stock reported to be outstanding as of November 8, 2019 as set forth in the Issuer’s Form 10-Q for the period ended September 30, 2019 as filed with the Securities and Exchange Commission (“SEC”)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-925830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-1243330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-1551940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299720</wp:posOffset>
            </wp:positionV>
            <wp:extent cx="72466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340" w:top="819" w:right="239" w:bottom="1440" w:gutter="0" w:footer="0" w:header="0"/>
          <w:type w:val="continuous"/>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Introductory Note: This statement on Schedule 13G is filed by the Reporting Persons in respect of shares of Common Stock, par value $0.001 per share (“Common Stock”), of NGM Biopharmaceuticals, Inc.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NGM Biopharmaceuticals,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NGM Biopharmaceuticals, Inc., 333 Oyster Point Boulevard, South San Francisco, CA 94080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Person(s) Filing</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Rho Ventures V, L.P. (“RV V”)</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Rho Ventures V Affiliates, L.L.C. (“RV V Affiliates”)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Rho Capital Partners LLC (“RCP”)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RMV V, L.L.C. (“RMV V”)</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Joshua Ruch (“Ruch”)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 Leschly (“Leschly”)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Habib Kairouz (“Kairouz”)</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RV V, RV V Affiliates, RCP, RMV V, Ruch, Leschly and Kairouz:</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Rho Ventures, 152 W 57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23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 New York, New York 10019</w:t>
      </w:r>
    </w:p>
    <w:p>
      <w:pPr>
        <w:spacing w:after="0" w:line="12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ectPr>
          <w:pgSz w:w="11900" w:h="16838" w:orient="portrait"/>
          <w:cols w:equalWidth="0" w:num="1">
            <w:col w:w="11420"/>
          </w:cols>
          <w:pgMar w:left="240" w:top="692" w:right="2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RV V</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ectPr>
          <w:pgSz w:w="11900" w:h="16838" w:orient="portrait"/>
          <w:cols w:equalWidth="0" w:num="2">
            <w:col w:w="1880" w:space="720"/>
            <w:col w:w="8820"/>
          </w:cols>
          <w:pgMar w:left="240" w:top="692" w:right="23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RV V Affiliates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ectPr>
          <w:pgSz w:w="11900" w:h="16838" w:orient="portrait"/>
          <w:cols w:equalWidth="0" w:num="2">
            <w:col w:w="1880" w:space="720"/>
            <w:col w:w="8820"/>
          </w:cols>
          <w:pgMar w:left="240" w:top="692"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RCP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ectPr>
          <w:pgSz w:w="11900" w:h="16838" w:orient="portrait"/>
          <w:cols w:equalWidth="0" w:num="2">
            <w:col w:w="1880" w:space="720"/>
            <w:col w:w="8820"/>
          </w:cols>
          <w:pgMar w:left="240" w:top="692" w:right="2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RMV 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58" w:lineRule="exact"/>
        <w:rPr>
          <w:sz w:val="20"/>
          <w:szCs w:val="20"/>
          <w:color w:val="auto"/>
        </w:rPr>
      </w:pPr>
    </w:p>
    <w:p>
      <w:pPr>
        <w:sectPr>
          <w:pgSz w:w="11900" w:h="16838" w:orient="portrait"/>
          <w:cols w:equalWidth="0" w:num="2">
            <w:col w:w="1880" w:space="720"/>
            <w:col w:w="8820"/>
          </w:cols>
          <w:pgMar w:left="240" w:top="692"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Leschly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Kingdom of Denmark</w:t>
      </w:r>
    </w:p>
    <w:p>
      <w:pPr>
        <w:spacing w:after="0" w:line="48" w:lineRule="exact"/>
        <w:rPr>
          <w:sz w:val="20"/>
          <w:szCs w:val="20"/>
          <w:color w:val="auto"/>
        </w:rPr>
      </w:pPr>
    </w:p>
    <w:p>
      <w:pPr>
        <w:sectPr>
          <w:pgSz w:w="11900" w:h="16838" w:orient="portrait"/>
          <w:cols w:equalWidth="0" w:num="2">
            <w:col w:w="1880" w:space="720"/>
            <w:col w:w="8820"/>
          </w:cols>
          <w:pgMar w:left="240" w:top="692" w:right="23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Kairouz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59" w:lineRule="exact"/>
        <w:rPr>
          <w:sz w:val="20"/>
          <w:szCs w:val="20"/>
          <w:color w:val="auto"/>
        </w:rPr>
      </w:pPr>
    </w:p>
    <w:p>
      <w:pPr>
        <w:sectPr>
          <w:pgSz w:w="11900" w:h="16838" w:orient="portrait"/>
          <w:cols w:equalWidth="0" w:num="2">
            <w:col w:w="1880" w:space="720"/>
            <w:col w:w="8820"/>
          </w:cols>
          <w:pgMar w:left="240" w:top="692"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Ruch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200" w:lineRule="exact"/>
        <w:rPr>
          <w:sz w:val="20"/>
          <w:szCs w:val="20"/>
          <w:color w:val="auto"/>
        </w:rPr>
      </w:pPr>
    </w:p>
    <w:p>
      <w:pPr>
        <w:sectPr>
          <w:pgSz w:w="11900" w:h="16838" w:orient="portrait"/>
          <w:cols w:equalWidth="0" w:num="2">
            <w:col w:w="1880" w:space="720"/>
            <w:col w:w="8820"/>
          </w:cols>
          <w:pgMar w:left="240" w:top="692" w:right="2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par value $0.001 per share.</w:t>
      </w:r>
    </w:p>
    <w:p>
      <w:pPr>
        <w:spacing w:after="0" w:line="221" w:lineRule="exact"/>
        <w:rPr>
          <w:sz w:val="20"/>
          <w:szCs w:val="20"/>
          <w:color w:val="auto"/>
        </w:rPr>
      </w:pPr>
    </w:p>
    <w:p>
      <w:pPr>
        <w:jc w:val="center"/>
        <w:ind w:right="9240"/>
        <w:spacing w:after="0"/>
        <w:tabs>
          <w:tab w:leader="none" w:pos="14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62921N 105</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4(a).  Amount Beneficially Owned: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4(b).  Percent of Class:</w:t>
      </w:r>
    </w:p>
    <w:p>
      <w:pPr>
        <w:spacing w:after="0" w:line="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5"/>
          <w:szCs w:val="15"/>
          <w:b w:val="1"/>
          <w:bCs w:val="1"/>
          <w:color w:val="auto"/>
        </w:rPr>
        <w:t>Number of shares as to which such persons have: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information with respect to the ownership of the Common Stock by the Reporting Persons filing this statement on Schedule 13G is provided as of December 31, 2019:</w:t>
      </w:r>
    </w:p>
    <w:p>
      <w:pPr>
        <w:spacing w:after="0" w:line="63"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82"/>
              </w:rPr>
              <w:t>Sole</w:t>
            </w: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Shared</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1620" w:type="dxa"/>
            <w:vAlign w:val="bottom"/>
          </w:tcPr>
          <w:p>
            <w:pPr>
              <w:jc w:val="right"/>
              <w:ind w:right="219"/>
              <w:spacing w:after="0"/>
              <w:rPr>
                <w:sz w:val="20"/>
                <w:szCs w:val="20"/>
                <w:color w:val="auto"/>
              </w:rPr>
            </w:pPr>
            <w:r>
              <w:rPr>
                <w:rFonts w:ascii="Arial" w:cs="Arial" w:eastAsia="Arial" w:hAnsi="Arial"/>
                <w:sz w:val="16"/>
                <w:szCs w:val="16"/>
                <w:b w:val="1"/>
                <w:bCs w:val="1"/>
                <w:color w:val="auto"/>
              </w:rPr>
              <w:t>Shares Held</w:t>
            </w:r>
          </w:p>
        </w:tc>
        <w:tc>
          <w:tcPr>
            <w:tcW w:w="1220" w:type="dxa"/>
            <w:vAlign w:val="bottom"/>
          </w:tcPr>
          <w:p>
            <w:pPr>
              <w:jc w:val="right"/>
              <w:ind w:right="199"/>
              <w:spacing w:after="0"/>
              <w:rPr>
                <w:sz w:val="20"/>
                <w:szCs w:val="20"/>
                <w:color w:val="auto"/>
              </w:rPr>
            </w:pPr>
            <w:r>
              <w:rPr>
                <w:rFonts w:ascii="Arial" w:cs="Arial" w:eastAsia="Arial" w:hAnsi="Arial"/>
                <w:sz w:val="16"/>
                <w:szCs w:val="16"/>
                <w:b w:val="1"/>
                <w:bCs w:val="1"/>
                <w:color w:val="auto"/>
              </w:rPr>
              <w:t>Sole Voting</w:t>
            </w: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Shared Voting</w:t>
            </w: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Dispositive</w:t>
            </w: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Dispositive</w:t>
            </w: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Beneficial</w:t>
            </w: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Percentage of</w:t>
            </w:r>
          </w:p>
        </w:tc>
      </w:tr>
      <w:tr>
        <w:trPr>
          <w:trHeight w:val="207"/>
        </w:trPr>
        <w:tc>
          <w:tcPr>
            <w:tcW w:w="1780" w:type="dxa"/>
            <w:vAlign w:val="bottom"/>
          </w:tcPr>
          <w:p>
            <w:pPr>
              <w:spacing w:after="0"/>
              <w:rPr>
                <w:sz w:val="20"/>
                <w:szCs w:val="20"/>
                <w:color w:val="auto"/>
              </w:rPr>
            </w:pPr>
            <w:r>
              <w:rPr>
                <w:rFonts w:ascii="Arial" w:cs="Arial" w:eastAsia="Arial" w:hAnsi="Arial"/>
                <w:sz w:val="16"/>
                <w:szCs w:val="16"/>
                <w:b w:val="1"/>
                <w:bCs w:val="1"/>
                <w:color w:val="auto"/>
              </w:rPr>
              <w:t>Reporting Persons</w:t>
            </w:r>
          </w:p>
        </w:tc>
        <w:tc>
          <w:tcPr>
            <w:tcW w:w="1620" w:type="dxa"/>
            <w:vAlign w:val="bottom"/>
          </w:tcPr>
          <w:p>
            <w:pPr>
              <w:jc w:val="right"/>
              <w:ind w:right="219"/>
              <w:spacing w:after="0"/>
              <w:rPr>
                <w:sz w:val="20"/>
                <w:szCs w:val="20"/>
                <w:color w:val="auto"/>
              </w:rPr>
            </w:pPr>
            <w:r>
              <w:rPr>
                <w:rFonts w:ascii="Arial" w:cs="Arial" w:eastAsia="Arial" w:hAnsi="Arial"/>
                <w:sz w:val="16"/>
                <w:szCs w:val="16"/>
                <w:b w:val="1"/>
                <w:bCs w:val="1"/>
                <w:color w:val="auto"/>
              </w:rPr>
              <w:t>Directly (1)</w:t>
            </w: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Power (1)</w:t>
            </w: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rPr>
              <w:t>Power (1)</w:t>
            </w: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Power (1)</w:t>
            </w: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Power (1)</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Ownership (1)</w:t>
            </w: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Class (1, 5)</w:t>
            </w: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RV V (2)</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3,462,648</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3,766,666</w:t>
            </w: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RV Affiliates (2)</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304,018</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3,766,666</w:t>
            </w: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RMV V (2)</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3,766,666</w:t>
            </w: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RCP (2)</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3,766,666</w:t>
            </w: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Ruch (2)</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3,766,666</w:t>
            </w: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Leschly (2)(3)</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18,000</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18,000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18,000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3,784,666</w:t>
            </w: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06"/>
        </w:trPr>
        <w:tc>
          <w:tcPr>
            <w:tcW w:w="1780" w:type="dxa"/>
            <w:vAlign w:val="bottom"/>
          </w:tcPr>
          <w:p>
            <w:pPr>
              <w:spacing w:after="0"/>
              <w:rPr>
                <w:sz w:val="20"/>
                <w:szCs w:val="20"/>
                <w:color w:val="auto"/>
              </w:rPr>
            </w:pPr>
            <w:r>
              <w:rPr>
                <w:rFonts w:ascii="Arial" w:cs="Arial" w:eastAsia="Arial" w:hAnsi="Arial"/>
                <w:sz w:val="16"/>
                <w:szCs w:val="16"/>
                <w:color w:val="auto"/>
              </w:rPr>
              <w:t>Kairouz (2)</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3,766,666</w:t>
            </w: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r>
    </w:tbl>
    <w:p>
      <w:pPr>
        <w:spacing w:after="0" w:line="104"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number of shares of Common Stock currently underlying all securities held by the Reporting Persons.</w:t>
      </w:r>
    </w:p>
    <w:p>
      <w:pPr>
        <w:spacing w:after="0" w:line="126" w:lineRule="exact"/>
        <w:rPr>
          <w:rFonts w:ascii="Arial" w:cs="Arial" w:eastAsia="Arial" w:hAnsi="Arial"/>
          <w:sz w:val="16"/>
          <w:szCs w:val="16"/>
          <w:color w:val="auto"/>
        </w:rPr>
      </w:pPr>
    </w:p>
    <w:p>
      <w:pPr>
        <w:jc w:val="both"/>
        <w:ind w:left="260" w:hanging="252"/>
        <w:spacing w:after="0" w:line="293" w:lineRule="auto"/>
        <w:tabs>
          <w:tab w:leader="none" w:pos="2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68" w:lineRule="exact"/>
        <w:rPr>
          <w:rFonts w:ascii="Arial" w:cs="Arial" w:eastAsia="Arial" w:hAnsi="Arial"/>
          <w:sz w:val="15"/>
          <w:szCs w:val="15"/>
          <w:color w:val="auto"/>
        </w:rPr>
      </w:pPr>
    </w:p>
    <w:p>
      <w:pPr>
        <w:ind w:left="260" w:hanging="252"/>
        <w:spacing w:after="0" w:line="293" w:lineRule="auto"/>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options held directly by Mark Leschly to purchase 18,000 shares of Common Stock which are presently exercisable or exercisable within sixty days of February 11, 2020.</w:t>
      </w:r>
    </w:p>
    <w:p>
      <w:pPr>
        <w:spacing w:after="0" w:line="10" w:lineRule="exact"/>
        <w:rPr>
          <w:sz w:val="20"/>
          <w:szCs w:val="20"/>
          <w:color w:val="auto"/>
        </w:rPr>
      </w:pPr>
    </w:p>
    <w:p>
      <w:pPr>
        <w:ind w:left="260" w:right="20" w:hanging="252"/>
        <w:spacing w:after="0" w:line="329" w:lineRule="auto"/>
        <w:tabs>
          <w:tab w:leader="none" w:pos="2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percentages set forth above are calculated based on 66,654,589 shares of Common Stock reported to be outstanding as of November 8, 2019 as set forth in the Issuer’s Form 10-Q for the period ended September 30, 2019 as filed with the Securities and Exchange Commission (“SEC”) on November 12, 2019.</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660" w:right="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color w:val="auto"/>
        </w:rPr>
        <w:t>SIGNATURES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11, 2020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RHO VENTURES V,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RMV V,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RHO VENTURES V AFFILIATES,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RMV V,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ITS: MANAGING MEMBER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RHO CAPITAL PARTNERS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RMV V,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JOSHUA RUCH</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HABIB KAIROUZ</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MARK LESCHLY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20" w:type="dxa"/>
            <w:vAlign w:val="bottom"/>
          </w:tcPr>
          <w:p>
            <w:pPr>
              <w:spacing w:after="0"/>
              <w:rPr>
                <w:sz w:val="20"/>
                <w:szCs w:val="20"/>
                <w:color w:val="auto"/>
              </w:rPr>
            </w:pPr>
            <w:r>
              <w:rPr>
                <w:rFonts w:ascii="Arial" w:cs="Arial" w:eastAsia="Arial" w:hAnsi="Arial"/>
                <w:sz w:val="20"/>
                <w:szCs w:val="20"/>
                <w:b w:val="1"/>
                <w:bCs w:val="1"/>
                <w:color w:val="auto"/>
              </w:rPr>
              <w:t>Exhibit(s)</w:t>
            </w:r>
            <w:r>
              <w:rPr>
                <w:rFonts w:ascii="Arial" w:cs="Arial" w:eastAsia="Arial" w:hAnsi="Arial"/>
                <w:sz w:val="20"/>
                <w:szCs w:val="20"/>
                <w:color w:val="auto"/>
              </w:rPr>
              <w:t>:</w:t>
            </w:r>
          </w:p>
        </w:tc>
        <w:tc>
          <w:tcPr>
            <w:tcW w:w="10100" w:type="dxa"/>
            <w:vAlign w:val="bottom"/>
          </w:tcPr>
          <w:p>
            <w:pPr>
              <w:spacing w:after="0"/>
              <w:rPr>
                <w:sz w:val="22"/>
                <w:szCs w:val="22"/>
                <w:color w:val="auto"/>
              </w:rPr>
            </w:pPr>
          </w:p>
        </w:tc>
      </w:tr>
      <w:tr>
        <w:trPr>
          <w:trHeight w:val="438"/>
        </w:trPr>
        <w:tc>
          <w:tcPr>
            <w:tcW w:w="1320" w:type="dxa"/>
            <w:vAlign w:val="bottom"/>
          </w:tcPr>
          <w:p>
            <w:pPr>
              <w:spacing w:after="0"/>
              <w:rPr>
                <w:sz w:val="20"/>
                <w:szCs w:val="20"/>
                <w:color w:val="auto"/>
              </w:rPr>
            </w:pPr>
            <w:r>
              <w:rPr>
                <w:rFonts w:ascii="Arial" w:cs="Arial" w:eastAsia="Arial" w:hAnsi="Arial"/>
                <w:sz w:val="20"/>
                <w:szCs w:val="20"/>
                <w:color w:val="auto"/>
              </w:rPr>
              <w:t>Exhibit 1:</w:t>
            </w:r>
          </w:p>
        </w:tc>
        <w:tc>
          <w:tcPr>
            <w:tcW w:w="10100" w:type="dxa"/>
            <w:vAlign w:val="bottom"/>
          </w:tcPr>
          <w:p>
            <w:pPr>
              <w:ind w:left="400"/>
              <w:spacing w:after="0"/>
              <w:rPr>
                <w:sz w:val="20"/>
                <w:szCs w:val="20"/>
                <w:color w:val="auto"/>
              </w:rPr>
            </w:pPr>
            <w:r>
              <w:rPr>
                <w:rFonts w:ascii="Arial" w:cs="Arial" w:eastAsia="Arial" w:hAnsi="Arial"/>
                <w:sz w:val="20"/>
                <w:szCs w:val="20"/>
                <w:color w:val="auto"/>
              </w:rPr>
              <w:t>Joint Filing Statement</w:t>
            </w:r>
          </w:p>
        </w:tc>
      </w:tr>
      <w:tr>
        <w:trPr>
          <w:trHeight w:val="250"/>
        </w:trPr>
        <w:tc>
          <w:tcPr>
            <w:tcW w:w="1320" w:type="dxa"/>
            <w:vAlign w:val="bottom"/>
          </w:tcPr>
          <w:p>
            <w:pPr>
              <w:spacing w:after="0"/>
              <w:rPr>
                <w:sz w:val="20"/>
                <w:szCs w:val="20"/>
                <w:color w:val="auto"/>
              </w:rPr>
            </w:pPr>
            <w:r>
              <w:rPr>
                <w:rFonts w:ascii="Arial" w:cs="Arial" w:eastAsia="Arial" w:hAnsi="Arial"/>
                <w:sz w:val="20"/>
                <w:szCs w:val="20"/>
                <w:color w:val="auto"/>
              </w:rPr>
              <w:t>Exhibit 2:</w:t>
            </w:r>
          </w:p>
        </w:tc>
        <w:tc>
          <w:tcPr>
            <w:tcW w:w="10100" w:type="dxa"/>
            <w:vAlign w:val="bottom"/>
          </w:tcPr>
          <w:p>
            <w:pPr>
              <w:ind w:left="400"/>
              <w:spacing w:after="0"/>
              <w:rPr>
                <w:sz w:val="20"/>
                <w:szCs w:val="20"/>
                <w:color w:val="auto"/>
              </w:rPr>
            </w:pPr>
            <w:r>
              <w:rPr>
                <w:rFonts w:ascii="Arial" w:cs="Arial" w:eastAsia="Arial" w:hAnsi="Arial"/>
                <w:sz w:val="20"/>
                <w:szCs w:val="20"/>
                <w:color w:val="auto"/>
              </w:rPr>
              <w:t>Power of Attorney</w:t>
            </w:r>
          </w:p>
        </w:tc>
      </w:tr>
      <w:tr>
        <w:trPr>
          <w:trHeight w:val="503"/>
        </w:trPr>
        <w:tc>
          <w:tcPr>
            <w:tcW w:w="1320" w:type="dxa"/>
            <w:vAlign w:val="bottom"/>
            <w:tcBorders>
              <w:bottom w:val="single" w:sz="8" w:color="6291B2"/>
            </w:tcBorders>
          </w:tcPr>
          <w:p>
            <w:pPr>
              <w:spacing w:after="0"/>
              <w:rPr>
                <w:sz w:val="24"/>
                <w:szCs w:val="24"/>
                <w:color w:val="auto"/>
              </w:rPr>
            </w:pPr>
          </w:p>
        </w:tc>
        <w:tc>
          <w:tcPr>
            <w:tcW w:w="10100" w:type="dxa"/>
            <w:vAlign w:val="bottom"/>
            <w:tcBorders>
              <w:bottom w:val="single" w:sz="8" w:color="6291B2"/>
            </w:tcBorders>
          </w:tcPr>
          <w:p>
            <w:pPr>
              <w:spacing w:after="0"/>
              <w:rPr>
                <w:sz w:val="24"/>
                <w:szCs w:val="24"/>
                <w:color w:val="auto"/>
              </w:rPr>
            </w:pPr>
          </w:p>
        </w:tc>
      </w:tr>
    </w:tbl>
    <w:p>
      <w:pPr>
        <w:sectPr>
          <w:pgSz w:w="11900" w:h="16838" w:orient="portrait"/>
          <w:cols w:equalWidth="0" w:num="1">
            <w:col w:w="11420"/>
          </w:cols>
          <w:pgMar w:left="240" w:top="689" w:right="239" w:bottom="1440" w:gutter="0" w:footer="0" w:header="0"/>
        </w:sectPr>
      </w:pPr>
    </w:p>
    <w:bookmarkStart w:id="12" w:name="page13"/>
    <w:bookmarkEnd w:id="12"/>
    <w:p>
      <w:pPr>
        <w:spacing w:after="0"/>
        <w:tabs>
          <w:tab w:leader="none" w:pos="5580" w:val="left"/>
          <w:tab w:leader="none" w:pos="10600" w:val="left"/>
        </w:tabs>
        <w:rPr>
          <w:sz w:val="20"/>
          <w:szCs w:val="20"/>
          <w:color w:val="auto"/>
        </w:rPr>
      </w:pPr>
      <w:r>
        <w:rPr>
          <w:rFonts w:ascii="Arial" w:cs="Arial" w:eastAsia="Arial" w:hAnsi="Arial"/>
          <w:sz w:val="18"/>
          <w:szCs w:val="18"/>
          <w:b w:val="1"/>
          <w:bCs w:val="1"/>
          <w:color w:val="auto"/>
        </w:rPr>
        <w:t>CUSIP No. 62921N 105</w:t>
      </w:r>
      <w:r>
        <w:rPr>
          <w:sz w:val="20"/>
          <w:szCs w:val="20"/>
          <w:color w:val="auto"/>
        </w:rPr>
        <w:tab/>
      </w:r>
      <w:r>
        <w:rPr>
          <w:rFonts w:ascii="Arial" w:cs="Arial" w:eastAsia="Arial" w:hAnsi="Arial"/>
          <w:sz w:val="50"/>
          <w:szCs w:val="50"/>
          <w:b w:val="1"/>
          <w:bCs w:val="1"/>
          <w:color w:val="auto"/>
          <w:vertAlign w:val="subscript"/>
        </w:rPr>
        <w:t>13G</w:t>
      </w:r>
      <w:r>
        <w:rPr>
          <w:sz w:val="20"/>
          <w:szCs w:val="20"/>
          <w:color w:val="auto"/>
        </w:rPr>
        <w:tab/>
      </w:r>
      <w:r>
        <w:rPr>
          <w:rFonts w:ascii="Arial" w:cs="Arial" w:eastAsia="Arial" w:hAnsi="Arial"/>
          <w:sz w:val="16"/>
          <w:szCs w:val="16"/>
          <w:b w:val="1"/>
          <w:bCs w:val="1"/>
          <w:color w:val="auto"/>
        </w:rPr>
        <w:t>Exhibit 1</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13d-1(k)(1) under the Securities Exchange Act of 1934, as amended, the undersigned hereby agree that only one statement containing the information required by Schedule 13G need be filed with respect to the ownership by each of the undersigned of the shares of Common Stock of NGM Biopharmaceuticals,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RHO VENTURES V,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RMV V,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RHO VENTURES V AFFILIATES,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RMV V,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ITS: MANAGING MEMBER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RHO CAPITAL PARTNERS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RMV V,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JOSHUA RUCH</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HABIB KAIROUZ</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MARK LESCHLY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3" w:name="page14"/>
    <w:bookmarkEnd w:id="13"/>
    <w:p>
      <w:pPr>
        <w:spacing w:after="0"/>
        <w:tabs>
          <w:tab w:leader="none" w:pos="5580" w:val="left"/>
          <w:tab w:leader="none" w:pos="10600" w:val="left"/>
        </w:tabs>
        <w:rPr>
          <w:sz w:val="20"/>
          <w:szCs w:val="20"/>
          <w:color w:val="auto"/>
        </w:rPr>
      </w:pPr>
      <w:r>
        <w:rPr>
          <w:rFonts w:ascii="Arial" w:cs="Arial" w:eastAsia="Arial" w:hAnsi="Arial"/>
          <w:sz w:val="18"/>
          <w:szCs w:val="18"/>
          <w:b w:val="1"/>
          <w:bCs w:val="1"/>
          <w:color w:val="auto"/>
        </w:rPr>
        <w:t>CUSIP No. 62921N 105</w:t>
      </w:r>
      <w:r>
        <w:rPr>
          <w:sz w:val="20"/>
          <w:szCs w:val="20"/>
          <w:color w:val="auto"/>
        </w:rPr>
        <w:tab/>
      </w:r>
      <w:r>
        <w:rPr>
          <w:rFonts w:ascii="Arial" w:cs="Arial" w:eastAsia="Arial" w:hAnsi="Arial"/>
          <w:sz w:val="50"/>
          <w:szCs w:val="50"/>
          <w:b w:val="1"/>
          <w:bCs w:val="1"/>
          <w:color w:val="auto"/>
          <w:vertAlign w:val="subscript"/>
        </w:rPr>
        <w:t>13G</w:t>
      </w:r>
      <w:r>
        <w:rPr>
          <w:sz w:val="20"/>
          <w:szCs w:val="20"/>
          <w:color w:val="auto"/>
        </w:rPr>
        <w:tab/>
      </w:r>
      <w:r>
        <w:rPr>
          <w:rFonts w:ascii="Arial" w:cs="Arial" w:eastAsia="Arial" w:hAnsi="Arial"/>
          <w:sz w:val="16"/>
          <w:szCs w:val="16"/>
          <w:b w:val="1"/>
          <w:bCs w:val="1"/>
          <w:color w:val="auto"/>
        </w:rPr>
        <w:t>Exhibit 2</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POWER OF ATTORNEY</w:t>
      </w:r>
    </w:p>
    <w:p>
      <w:pPr>
        <w:spacing w:after="0" w:line="229"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undersigned hereby constitutes and appoints Peter Kalkanis, with full power of substitution, as the undersigned's true and lawful attorney-in-fact to:</w:t>
      </w:r>
    </w:p>
    <w:p>
      <w:pPr>
        <w:spacing w:after="0" w:line="177" w:lineRule="exact"/>
        <w:rPr>
          <w:sz w:val="20"/>
          <w:szCs w:val="20"/>
          <w:color w:val="auto"/>
        </w:rPr>
      </w:pPr>
    </w:p>
    <w:p>
      <w:pPr>
        <w:ind w:right="180" w:firstLine="8"/>
        <w:spacing w:after="0" w:line="246" w:lineRule="auto"/>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91" w:lineRule="exact"/>
        <w:rPr>
          <w:rFonts w:ascii="Arial" w:cs="Arial" w:eastAsia="Arial" w:hAnsi="Arial"/>
          <w:sz w:val="20"/>
          <w:szCs w:val="20"/>
          <w:color w:val="auto"/>
        </w:rPr>
      </w:pPr>
    </w:p>
    <w:p>
      <w:pPr>
        <w:ind w:firstLine="8"/>
        <w:spacing w:after="0" w:line="291"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NGM Biopharmaceuticals, Inc. (the "Company") and/or 5% or 10% holder of the Company's capital stock, Forms 3, 4, and 5 as well as any Section 13D or 13G filings and any amendments thereto in accordance with Sections 13 and 16(a) of the Securities Exchange Act of 1934 and the rules thereunder;</w:t>
      </w:r>
    </w:p>
    <w:p>
      <w:pPr>
        <w:spacing w:after="0" w:line="151" w:lineRule="exact"/>
        <w:rPr>
          <w:rFonts w:ascii="Arial" w:cs="Arial" w:eastAsia="Arial" w:hAnsi="Arial"/>
          <w:sz w:val="18"/>
          <w:szCs w:val="18"/>
          <w:color w:val="auto"/>
        </w:rPr>
      </w:pPr>
    </w:p>
    <w:p>
      <w:pPr>
        <w:ind w:right="20" w:firstLine="8"/>
        <w:spacing w:after="0" w:line="250" w:lineRule="auto"/>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13D or 13G, complete and execute any amendment or amendments thereto, and timely file such form with the SEC and any stock exchange or similar authority; and</w:t>
      </w:r>
    </w:p>
    <w:p>
      <w:pPr>
        <w:spacing w:after="0" w:line="186" w:lineRule="exact"/>
        <w:rPr>
          <w:rFonts w:ascii="Arial" w:cs="Arial" w:eastAsia="Arial" w:hAnsi="Arial"/>
          <w:sz w:val="20"/>
          <w:szCs w:val="20"/>
          <w:color w:val="auto"/>
        </w:rPr>
      </w:pPr>
    </w:p>
    <w:p>
      <w:pPr>
        <w:ind w:right="160" w:firstLine="8"/>
        <w:spacing w:after="0" w:line="246" w:lineRule="auto"/>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or 16 of the Securities Exchange Act of 1934.</w:t>
      </w:r>
    </w:p>
    <w:p>
      <w:pPr>
        <w:spacing w:after="0" w:line="17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13D or 13G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4" w:name="page15"/>
    <w:bookmarkEnd w:id="14"/>
    <w:p>
      <w:pPr>
        <w:spacing w:after="0"/>
        <w:tabs>
          <w:tab w:leader="none" w:pos="5580" w:val="left"/>
          <w:tab w:leader="none" w:pos="10600" w:val="left"/>
        </w:tabs>
        <w:rPr>
          <w:sz w:val="20"/>
          <w:szCs w:val="20"/>
          <w:color w:val="auto"/>
        </w:rPr>
      </w:pPr>
      <w:r>
        <w:rPr>
          <w:rFonts w:ascii="Arial" w:cs="Arial" w:eastAsia="Arial" w:hAnsi="Arial"/>
          <w:sz w:val="18"/>
          <w:szCs w:val="18"/>
          <w:b w:val="1"/>
          <w:bCs w:val="1"/>
          <w:color w:val="auto"/>
        </w:rPr>
        <w:t>CUSIP No. 62921N 105</w:t>
      </w:r>
      <w:r>
        <w:rPr>
          <w:sz w:val="20"/>
          <w:szCs w:val="20"/>
          <w:color w:val="auto"/>
        </w:rPr>
        <w:tab/>
      </w:r>
      <w:r>
        <w:rPr>
          <w:rFonts w:ascii="Arial" w:cs="Arial" w:eastAsia="Arial" w:hAnsi="Arial"/>
          <w:sz w:val="50"/>
          <w:szCs w:val="50"/>
          <w:b w:val="1"/>
          <w:bCs w:val="1"/>
          <w:color w:val="auto"/>
          <w:vertAlign w:val="subscript"/>
        </w:rPr>
        <w:t>13G</w:t>
      </w:r>
      <w:r>
        <w:rPr>
          <w:sz w:val="20"/>
          <w:szCs w:val="20"/>
          <w:color w:val="auto"/>
        </w:rPr>
        <w:tab/>
      </w:r>
      <w:r>
        <w:rPr>
          <w:rFonts w:ascii="Arial" w:cs="Arial" w:eastAsia="Arial" w:hAnsi="Arial"/>
          <w:sz w:val="16"/>
          <w:szCs w:val="16"/>
          <w:b w:val="1"/>
          <w:bCs w:val="1"/>
          <w:color w:val="auto"/>
        </w:rPr>
        <w:t>Exhibit 2</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11th day of February, 2020.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RHO VENTURES V,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RMV V, L.L.C., its General Partner</w:t>
      </w:r>
    </w:p>
    <w:p>
      <w:pPr>
        <w:spacing w:after="0"/>
        <w:rPr>
          <w:sz w:val="20"/>
          <w:szCs w:val="20"/>
          <w:color w:val="auto"/>
        </w:rPr>
      </w:pPr>
      <w:r>
        <w:rPr>
          <w:rFonts w:ascii="Arial" w:cs="Arial" w:eastAsia="Arial" w:hAnsi="Arial"/>
          <w:sz w:val="20"/>
          <w:szCs w:val="20"/>
          <w:color w:val="auto"/>
        </w:rPr>
        <w:t>By: Rho Capital Partners LLC, 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Habib Kairouz</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Habib Kairouz</w:t>
      </w:r>
    </w:p>
    <w:p>
      <w:pPr>
        <w:ind w:left="400"/>
        <w:spacing w:after="0"/>
        <w:rPr>
          <w:sz w:val="20"/>
          <w:szCs w:val="20"/>
          <w:color w:val="auto"/>
        </w:rPr>
      </w:pPr>
      <w:r>
        <w:rPr>
          <w:rFonts w:ascii="Arial" w:cs="Arial" w:eastAsia="Arial" w:hAnsi="Arial"/>
          <w:sz w:val="20"/>
          <w:szCs w:val="20"/>
          <w:color w:val="auto"/>
        </w:rPr>
        <w:t>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RMV V,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By: Rho Capital Partners LLC, 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/s/Habib Kairouz</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Habib Kairouz</w:t>
      </w:r>
    </w:p>
    <w:p>
      <w:pPr>
        <w:ind w:left="400"/>
        <w:spacing w:after="0"/>
        <w:rPr>
          <w:sz w:val="20"/>
          <w:szCs w:val="20"/>
          <w:color w:val="auto"/>
        </w:rPr>
      </w:pPr>
      <w:r>
        <w:rPr>
          <w:rFonts w:ascii="Arial" w:cs="Arial" w:eastAsia="Arial" w:hAnsi="Arial"/>
          <w:sz w:val="20"/>
          <w:szCs w:val="20"/>
          <w:color w:val="auto"/>
        </w:rPr>
        <w:t>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RHO CAPITAL PARTNERS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/s/Habib Kairouz</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Habib Kairouz</w:t>
      </w:r>
    </w:p>
    <w:p>
      <w:pPr>
        <w:ind w:left="400"/>
        <w:spacing w:after="0"/>
        <w:rPr>
          <w:sz w:val="20"/>
          <w:szCs w:val="20"/>
          <w:color w:val="auto"/>
        </w:rPr>
      </w:pPr>
      <w:r>
        <w:rPr>
          <w:rFonts w:ascii="Arial" w:cs="Arial" w:eastAsia="Arial" w:hAnsi="Arial"/>
          <w:sz w:val="20"/>
          <w:szCs w:val="20"/>
          <w:color w:val="auto"/>
        </w:rPr>
        <w:t>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RHO VENTURES V AFFILIATES,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RMV V, L.L.C., its Managing Member</w:t>
      </w:r>
    </w:p>
    <w:p>
      <w:pPr>
        <w:spacing w:after="0"/>
        <w:rPr>
          <w:sz w:val="20"/>
          <w:szCs w:val="20"/>
          <w:color w:val="auto"/>
        </w:rPr>
      </w:pPr>
      <w:r>
        <w:rPr>
          <w:rFonts w:ascii="Arial" w:cs="Arial" w:eastAsia="Arial" w:hAnsi="Arial"/>
          <w:sz w:val="20"/>
          <w:szCs w:val="20"/>
          <w:color w:val="auto"/>
        </w:rPr>
        <w:t>By: Rho Capital Partners LLC, 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/s/Habib Kairouz</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Habib Kairouz</w:t>
      </w:r>
    </w:p>
    <w:p>
      <w:pPr>
        <w:ind w:left="40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/s/Habib Kairouz</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Habib Kairouz</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Joshua Ruch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Joshua Ruch</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Mark Leschly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Mark Leschly</w:t>
      </w:r>
    </w:p>
    <w:sectPr>
      <w:pgSz w:w="11900" w:h="16838" w:orient="portrait"/>
      <w:cols w:equalWidth="0" w:num="1">
        <w:col w:w="11320"/>
      </w:cols>
      <w:pgMar w:left="24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lvl w:ilvl="1">
      <w:lvlJc w:val="left"/>
      <w:lvlText w:val="☑"/>
      <w:numFmt w:val="bullet"/>
      <w:start w:val="1"/>
    </w:lvl>
  </w:abstractNum>
  <w:abstractNum w:abstractNumId="2">
    <w:nsid w:val="431BD7B7"/>
    <w:multiLevelType w:val="hybridMultilevel"/>
    <w:lvl w:ilvl="0">
      <w:lvlJc w:val="left"/>
      <w:lvlText w:val="%1."/>
      <w:numFmt w:val="decimal"/>
      <w:start w:val="1"/>
    </w:lvl>
    <w:lvl w:ilvl="1">
      <w:lvlJc w:val="left"/>
      <w:lvlText w:val="(%2)"/>
      <w:numFmt w:val="lowerLetter"/>
      <w:start w:val="1"/>
    </w:lvl>
  </w:abstractNum>
  <w:abstractNum w:abstractNumId="3">
    <w:nsid w:val="3F2DBA31"/>
    <w:multiLevelType w:val="hybridMultilevel"/>
    <w:lvl w:ilvl="0">
      <w:lvlJc w:val="left"/>
      <w:lvlText w:val="%1."/>
      <w:numFmt w:val="decimal"/>
      <w:start w:val="5"/>
    </w:lvl>
  </w:abstractNum>
  <w:abstractNum w:abstractNumId="4">
    <w:nsid w:val="7C83E458"/>
    <w:multiLevelType w:val="hybridMultilevel"/>
    <w:lvl w:ilvl="0">
      <w:lvlJc w:val="left"/>
      <w:lvlText w:val="%1."/>
      <w:numFmt w:val="decimal"/>
      <w:start w:val="9"/>
    </w:lvl>
  </w:abstractNum>
  <w:abstractNum w:abstractNumId="5">
    <w:nsid w:val="257130A3"/>
    <w:multiLevelType w:val="hybridMultilevel"/>
    <w:lvl w:ilvl="0">
      <w:lvlJc w:val="left"/>
      <w:lvlText w:val="%1."/>
      <w:numFmt w:val="decimal"/>
      <w:start w:val="11"/>
    </w:lvl>
    <w:lvl w:ilvl="1">
      <w:lvlJc w:val="left"/>
      <w:lvlText w:val="(%2)"/>
      <w:numFmt w:val="decimal"/>
      <w:start w:val="1"/>
    </w:lvl>
  </w:abstractNum>
  <w:abstractNum w:abstractNumId="6">
    <w:nsid w:val="62BBD95A"/>
    <w:multiLevelType w:val="hybridMultilevel"/>
    <w:lvl w:ilvl="0">
      <w:lvlJc w:val="left"/>
      <w:lvlText w:val="%1."/>
      <w:numFmt w:val="decimal"/>
      <w:start w:val="1"/>
    </w:lvl>
    <w:lvl w:ilvl="1">
      <w:lvlJc w:val="left"/>
      <w:lvlText w:val="(%2)"/>
      <w:numFmt w:val="lowerLetter"/>
      <w:start w:val="1"/>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9"/>
    </w:lvl>
  </w:abstractNum>
  <w:abstractNum w:abstractNumId="9">
    <w:nsid w:val="333AB105"/>
    <w:multiLevelType w:val="hybridMultilevel"/>
    <w:lvl w:ilvl="0">
      <w:lvlJc w:val="left"/>
      <w:lvlText w:val="%1."/>
      <w:numFmt w:val="decimal"/>
      <w:start w:val="11"/>
    </w:lvl>
    <w:lvl w:ilvl="1">
      <w:lvlJc w:val="left"/>
      <w:lvlText w:val="(%2)"/>
      <w:numFmt w:val="decimal"/>
      <w:start w:val="1"/>
    </w:lvl>
  </w:abstractNum>
  <w:abstractNum w:abstractNumId="10">
    <w:nsid w:val="721DA317"/>
    <w:multiLevelType w:val="hybridMultilevel"/>
    <w:lvl w:ilvl="0">
      <w:lvlJc w:val="left"/>
      <w:lvlText w:val="%1."/>
      <w:numFmt w:val="decimal"/>
      <w:start w:val="1"/>
    </w:lvl>
    <w:lvl w:ilvl="1">
      <w:lvlJc w:val="left"/>
      <w:lvlText w:val="(%2)"/>
      <w:numFmt w:val="lowerLetter"/>
      <w:start w:val="1"/>
    </w:lvl>
  </w:abstractNum>
  <w:abstractNum w:abstractNumId="11">
    <w:nsid w:val="2443A858"/>
    <w:multiLevelType w:val="hybridMultilevel"/>
    <w:lvl w:ilvl="0">
      <w:lvlJc w:val="left"/>
      <w:lvlText w:val="%1."/>
      <w:numFmt w:val="decimal"/>
      <w:start w:val="5"/>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1"/>
    </w:lvl>
    <w:lvl w:ilvl="1">
      <w:lvlJc w:val="left"/>
      <w:lvlText w:val="(%2)"/>
      <w:numFmt w:val="decimal"/>
      <w:start w:val="1"/>
    </w:lvl>
  </w:abstractNum>
  <w:abstractNum w:abstractNumId="14">
    <w:nsid w:val="75A2A8D4"/>
    <w:multiLevelType w:val="hybridMultilevel"/>
    <w:lvl w:ilvl="0">
      <w:lvlJc w:val="left"/>
      <w:lvlText w:val="%1."/>
      <w:numFmt w:val="decimal"/>
      <w:start w:val="1"/>
    </w:lvl>
    <w:lvl w:ilvl="1">
      <w:lvlJc w:val="left"/>
      <w:lvlText w:val="(%2)"/>
      <w:numFmt w:val="lowerLetter"/>
      <w:start w:val="1"/>
    </w:lvl>
  </w:abstractNum>
  <w:abstractNum w:abstractNumId="15">
    <w:nsid w:val="8EDBDAB"/>
    <w:multiLevelType w:val="hybridMultilevel"/>
    <w:lvl w:ilvl="0">
      <w:lvlJc w:val="left"/>
      <w:lvlText w:val="%1."/>
      <w:numFmt w:val="decimal"/>
      <w:start w:val="5"/>
    </w:lvl>
  </w:abstractNum>
  <w:abstractNum w:abstractNumId="16">
    <w:nsid w:val="79838CB2"/>
    <w:multiLevelType w:val="hybridMultilevel"/>
    <w:lvl w:ilvl="0">
      <w:lvlJc w:val="left"/>
      <w:lvlText w:val="%1."/>
      <w:numFmt w:val="decimal"/>
      <w:start w:val="9"/>
    </w:lvl>
  </w:abstractNum>
  <w:abstractNum w:abstractNumId="17">
    <w:nsid w:val="4353D0CD"/>
    <w:multiLevelType w:val="hybridMultilevel"/>
    <w:lvl w:ilvl="0">
      <w:lvlJc w:val="left"/>
      <w:lvlText w:val="%1."/>
      <w:numFmt w:val="decimal"/>
      <w:start w:val="11"/>
    </w:lvl>
    <w:lvl w:ilvl="1">
      <w:lvlJc w:val="left"/>
      <w:lvlText w:val="(%2)"/>
      <w:numFmt w:val="decimal"/>
      <w:start w:val="1"/>
    </w:lvl>
  </w:abstractNum>
  <w:abstractNum w:abstractNumId="18">
    <w:nsid w:val="B03E0C6"/>
    <w:multiLevelType w:val="hybridMultilevel"/>
    <w:lvl w:ilvl="0">
      <w:lvlJc w:val="left"/>
      <w:lvlText w:val="%1."/>
      <w:numFmt w:val="decimal"/>
      <w:start w:val="1"/>
    </w:lvl>
    <w:lvl w:ilvl="1">
      <w:lvlJc w:val="left"/>
      <w:lvlText w:val="(%2)"/>
      <w:numFmt w:val="lowerLetter"/>
      <w:start w:val="1"/>
    </w:lvl>
  </w:abstractNum>
  <w:abstractNum w:abstractNumId="19">
    <w:nsid w:val="189A769B"/>
    <w:multiLevelType w:val="hybridMultilevel"/>
    <w:lvl w:ilvl="0">
      <w:lvlJc w:val="left"/>
      <w:lvlText w:val="%1."/>
      <w:numFmt w:val="decimal"/>
      <w:start w:val="5"/>
    </w:lvl>
  </w:abstractNum>
  <w:abstractNum w:abstractNumId="20">
    <w:nsid w:val="54E49EB4"/>
    <w:multiLevelType w:val="hybridMultilevel"/>
    <w:lvl w:ilvl="0">
      <w:lvlJc w:val="left"/>
      <w:lvlText w:val="%1."/>
      <w:numFmt w:val="decimal"/>
      <w:start w:val="9"/>
    </w:lvl>
  </w:abstractNum>
  <w:abstractNum w:abstractNumId="21">
    <w:nsid w:val="71F32454"/>
    <w:multiLevelType w:val="hybridMultilevel"/>
    <w:lvl w:ilvl="0">
      <w:lvlJc w:val="left"/>
      <w:lvlText w:val="%1."/>
      <w:numFmt w:val="decimal"/>
      <w:start w:val="11"/>
    </w:lvl>
    <w:lvl w:ilvl="1">
      <w:lvlJc w:val="left"/>
      <w:lvlText w:val="(%2)"/>
      <w:numFmt w:val="decimal"/>
      <w:start w:val="1"/>
    </w:lvl>
  </w:abstractNum>
  <w:abstractNum w:abstractNumId="22">
    <w:nsid w:val="2CA88611"/>
    <w:multiLevelType w:val="hybridMultilevel"/>
    <w:lvl w:ilvl="0">
      <w:lvlJc w:val="left"/>
      <w:lvlText w:val="%1."/>
      <w:numFmt w:val="decimal"/>
      <w:start w:val="1"/>
    </w:lvl>
    <w:lvl w:ilvl="1">
      <w:lvlJc w:val="left"/>
      <w:lvlText w:val="(%2)"/>
      <w:numFmt w:val="lowerLetter"/>
      <w:start w:val="1"/>
    </w:lvl>
  </w:abstractNum>
  <w:abstractNum w:abstractNumId="23">
    <w:nsid w:val="836C40E"/>
    <w:multiLevelType w:val="hybridMultilevel"/>
    <w:lvl w:ilvl="0">
      <w:lvlJc w:val="left"/>
      <w:lvlText w:val="%1."/>
      <w:numFmt w:val="decimal"/>
      <w:start w:val="5"/>
    </w:lvl>
  </w:abstractNum>
  <w:abstractNum w:abstractNumId="24">
    <w:nsid w:val="2901D82"/>
    <w:multiLevelType w:val="hybridMultilevel"/>
    <w:lvl w:ilvl="0">
      <w:lvlJc w:val="left"/>
      <w:lvlText w:val="%1."/>
      <w:numFmt w:val="decimal"/>
      <w:start w:val="9"/>
    </w:lvl>
  </w:abstractNum>
  <w:abstractNum w:abstractNumId="25">
    <w:nsid w:val="3A95F874"/>
    <w:multiLevelType w:val="hybridMultilevel"/>
    <w:lvl w:ilvl="0">
      <w:lvlJc w:val="left"/>
      <w:lvlText w:val="%1."/>
      <w:numFmt w:val="decimal"/>
      <w:start w:val="11"/>
    </w:lvl>
    <w:lvl w:ilvl="1">
      <w:lvlJc w:val="left"/>
      <w:lvlText w:val="(%2)"/>
      <w:numFmt w:val="decimal"/>
      <w:start w:val="1"/>
    </w:lvl>
  </w:abstractNum>
  <w:abstractNum w:abstractNumId="26">
    <w:nsid w:val="8138641"/>
    <w:multiLevelType w:val="hybridMultilevel"/>
    <w:lvl w:ilvl="0">
      <w:lvlJc w:val="left"/>
      <w:lvlText w:val="%1."/>
      <w:numFmt w:val="decimal"/>
      <w:start w:val="1"/>
    </w:lvl>
    <w:lvl w:ilvl="1">
      <w:lvlJc w:val="left"/>
      <w:lvlText w:val="(%2)"/>
      <w:numFmt w:val="lowerLetter"/>
      <w:start w:val="1"/>
    </w:lvl>
  </w:abstractNum>
  <w:abstractNum w:abstractNumId="27">
    <w:nsid w:val="1E7FF521"/>
    <w:multiLevelType w:val="hybridMultilevel"/>
    <w:lvl w:ilvl="0">
      <w:lvlJc w:val="left"/>
      <w:lvlText w:val="%1."/>
      <w:numFmt w:val="decimal"/>
      <w:start w:val="5"/>
    </w:lvl>
  </w:abstractNum>
  <w:abstractNum w:abstractNumId="28">
    <w:nsid w:val="7C3DBD3D"/>
    <w:multiLevelType w:val="hybridMultilevel"/>
    <w:lvl w:ilvl="0">
      <w:lvlJc w:val="left"/>
      <w:lvlText w:val="%1."/>
      <w:numFmt w:val="decimal"/>
      <w:start w:val="9"/>
    </w:lvl>
  </w:abstractNum>
  <w:abstractNum w:abstractNumId="29">
    <w:nsid w:val="737B8DDC"/>
    <w:multiLevelType w:val="hybridMultilevel"/>
    <w:lvl w:ilvl="0">
      <w:lvlJc w:val="left"/>
      <w:lvlText w:val="%1."/>
      <w:numFmt w:val="decimal"/>
      <w:start w:val="11"/>
    </w:lvl>
    <w:lvl w:ilvl="1">
      <w:lvlJc w:val="left"/>
      <w:lvlText w:val="(%2)"/>
      <w:numFmt w:val="decimal"/>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3"/>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2020-02-11T16:03:53Z</dcterms:created>
  <dcterms:modified xsi:type="dcterms:W3CDTF">2020-02-11T16:03:53Z</dcterms:modified>
</cp:coreProperties>
</file>