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599 Lexington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3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1, 2019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Sasha Parikh</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Jim Rosenberg</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Dorrie Yale</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Erin Jaskot</w:t>
      </w:r>
    </w:p>
    <w:p>
      <w:pPr>
        <w:spacing w:after="0" w:line="234"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NGM Biopharmaceuticals,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S-1, as amended (File No. 333-227608)</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Request for Acceleration of Effective Date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1" w:lineRule="exact"/>
        <w:rPr>
          <w:sz w:val="24"/>
          <w:szCs w:val="24"/>
          <w:color w:val="auto"/>
        </w:rPr>
      </w:pPr>
    </w:p>
    <w:p>
      <w:pPr>
        <w:jc w:val="both"/>
        <w:ind w:right="60"/>
        <w:spacing w:after="0" w:line="281" w:lineRule="auto"/>
        <w:rPr>
          <w:sz w:val="20"/>
          <w:szCs w:val="20"/>
          <w:color w:val="auto"/>
        </w:rPr>
      </w:pPr>
      <w:r>
        <w:rPr>
          <w:rFonts w:ascii="Arial" w:cs="Arial" w:eastAsia="Arial" w:hAnsi="Arial"/>
          <w:sz w:val="17"/>
          <w:szCs w:val="17"/>
          <w:color w:val="auto"/>
        </w:rPr>
        <w:t>In accordance with Rule 461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we, as representatives of the several underwriters, hereby join in the request of NGM Biopharmaceuticals, Inc. (the “</w:t>
      </w:r>
      <w:r>
        <w:rPr>
          <w:rFonts w:ascii="Arial" w:cs="Arial" w:eastAsia="Arial" w:hAnsi="Arial"/>
          <w:sz w:val="17"/>
          <w:szCs w:val="17"/>
          <w:b w:val="1"/>
          <w:bCs w:val="1"/>
          <w:color w:val="auto"/>
        </w:rPr>
        <w:t>Company</w:t>
      </w:r>
      <w:r>
        <w:rPr>
          <w:rFonts w:ascii="Arial" w:cs="Arial" w:eastAsia="Arial" w:hAnsi="Arial"/>
          <w:sz w:val="17"/>
          <w:szCs w:val="17"/>
          <w:color w:val="auto"/>
        </w:rPr>
        <w:t>”) for acceleration of the effective date of the above-named Registration Statement so that it becomes effective at 4:00 PM, Eastern Time, on April 3, 2019, or as soon thereafter as practicable, or at such other time as the Company or its outside counsel, Cooley LLP, request by telephone that such Registration Statement be declared effective.</w:t>
      </w:r>
    </w:p>
    <w:p>
      <w:pPr>
        <w:spacing w:after="0" w:line="169"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we have carried out the following distribution of the Company’s Preliminary Prospectus dated March 25, 2019:</w:t>
      </w:r>
    </w:p>
    <w:p>
      <w:pPr>
        <w:spacing w:after="0" w:line="76" w:lineRule="exact"/>
        <w:rPr>
          <w:sz w:val="24"/>
          <w:szCs w:val="24"/>
          <w:color w:val="auto"/>
        </w:rPr>
      </w:pPr>
    </w:p>
    <w:p>
      <w:pPr>
        <w:ind w:left="860" w:hanging="42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Dates of distribution: March 25, 2019 through the date hereof</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prospective underwriters to which the preliminary prospectus was furnished: three</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prospectuses furnished to investors: approximately 810</w:t>
      </w:r>
    </w:p>
    <w:p>
      <w:pPr>
        <w:sectPr>
          <w:pgSz w:w="11900" w:h="16838" w:orient="portrait"/>
          <w:cols w:equalWidth="0" w:num="1">
            <w:col w:w="11020"/>
          </w:cols>
          <w:pgMar w:left="440" w:top="233" w:right="439" w:bottom="1440" w:gutter="0" w:footer="0" w:header="0"/>
        </w:sectPr>
      </w:pPr>
    </w:p>
    <w:bookmarkStart w:id="1" w:name="page2"/>
    <w:bookmarkEnd w:id="1"/>
    <w:p>
      <w:pPr>
        <w:ind w:left="860" w:hanging="424"/>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of prospectuses distributed to others, including the Company, the Company’s counsel, independent accountants and underwriters’ counsel: approximately 110</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the undersigned, as representatives of the several underwriters, have complied and will comply, and we have been informed by the participating underwriters that they have complied and will comply, with the requirements of Rule 15c2-8 under the Securities Exchange Act of 1934, as amended.</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0820"/>
          </w:cols>
          <w:pgMar w:left="440" w:top="274" w:right="639" w:bottom="1440" w:gutter="0" w:footer="0" w:header="0"/>
        </w:sectPr>
      </w:pPr>
    </w:p>
    <w:bookmarkStart w:id="2" w:name="page3"/>
    <w:bookmarkEnd w:id="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COWEN AND COMPANY, LLC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representatives of the several underwriters listed in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Schedule I to the Underwriting Agreement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Elizabeth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Elizabeth Wood</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Bradley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Bradley Wolff</w:t>
      </w:r>
    </w:p>
    <w:p>
      <w:pPr>
        <w:spacing w:after="0" w:line="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Bill Follis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14605</wp:posOffset>
            </wp:positionV>
            <wp:extent cx="2590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Bill Follis</w:t>
      </w:r>
    </w:p>
    <w:p>
      <w:pPr>
        <w:spacing w:after="0" w:line="9"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Underwriters’ Acceleration Request</w:t>
      </w:r>
      <w:r>
        <w:rPr>
          <w:rFonts w:ascii="Arial" w:cs="Arial" w:eastAsia="Arial" w:hAnsi="Arial"/>
          <w:sz w:val="18"/>
          <w:szCs w:val="18"/>
          <w:color w:val="auto"/>
        </w:rPr>
        <w:t>]</w:t>
      </w:r>
    </w:p>
    <w:sectPr>
      <w:pgSz w:w="11900" w:h="16838" w:orient="portrait"/>
      <w:cols w:equalWidth="0" w:num="1">
        <w:col w:w="9540"/>
      </w:cols>
      <w:pgMar w:left="1440" w:top="274"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1"/>
    </w:lvl>
  </w:abstractNum>
  <w:abstractNum w:abstractNumId="1">
    <w:nsid w:val="66334873"/>
    <w:multiLevelType w:val="hybridMultilevel"/>
    <w:lvl w:ilvl="0">
      <w:lvlJc w:val="left"/>
      <w:lvlText w:val="(%1)"/>
      <w:numFmt w:val="lowerRoman"/>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2019-12-21T01:40:32Z</dcterms:created>
  <dcterms:modified xsi:type="dcterms:W3CDTF">2019-12-21T01:40:32Z</dcterms:modified>
</cp:coreProperties>
</file>