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6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1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-173355</wp:posOffset>
            </wp:positionV>
            <wp:extent cx="82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60" w:type="dxa"/>
            <w:vAlign w:val="bottom"/>
          </w:tcPr>
          <w:p>
            <w:pPr>
              <w:jc w:val="center"/>
              <w:ind w:right="1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3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1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60" w:type="dxa"/>
            <w:vAlign w:val="bottom"/>
            <w:vMerge w:val="restart"/>
          </w:tcPr>
          <w:p>
            <w:pPr>
              <w:jc w:val="center"/>
              <w:ind w:right="1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5414645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-608330</wp:posOffset>
            </wp:positionV>
            <wp:extent cx="126936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-1506220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140" w:space="240"/>
            <w:col w:w="870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line="250" w:lineRule="auto"/>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 xml:space="preserve">NGM </w:t>
      </w:r>
      <w:r>
        <w:rPr>
          <w:rFonts w:ascii="Arial" w:cs="Arial" w:eastAsia="Arial" w:hAnsi="Arial"/>
          <w:sz w:val="21"/>
          <w:szCs w:val="21"/>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07/30/2020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84" w:lineRule="exact"/>
        <w:rPr>
          <w:sz w:val="24"/>
          <w:szCs w:val="24"/>
          <w:color w:val="auto"/>
        </w:rPr>
      </w:pPr>
    </w:p>
    <w:p>
      <w:pPr>
        <w:sectPr>
          <w:pgSz w:w="11900" w:h="16838" w:orient="portrait"/>
          <w:cols w:equalWidth="0" w:num="3">
            <w:col w:w="3200" w:space="720"/>
            <w:col w:w="3540" w:space="2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200" w:type="dxa"/>
            <w:vAlign w:val="bottom"/>
            <w:tcBorders>
              <w:bottom w:val="single" w:sz="8" w:color="9A9A9A"/>
            </w:tcBorders>
          </w:tcPr>
          <w:p>
            <w:pPr>
              <w:spacing w:after="0"/>
              <w:rPr>
                <w:sz w:val="4"/>
                <w:szCs w:val="4"/>
                <w:color w:val="auto"/>
              </w:rPr>
            </w:pPr>
          </w:p>
        </w:tc>
        <w:tc>
          <w:tcPr>
            <w:tcW w:w="9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10"/>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640" w:type="dxa"/>
            <w:vAlign w:val="bottom"/>
            <w:tcBorders>
              <w:top w:val="single" w:sz="8" w:color="2C2C2C"/>
              <w:bottom w:val="single" w:sz="8" w:color="2C2C2C"/>
            </w:tcBorders>
            <w:gridSpan w:val="8"/>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3"/>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9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10"/>
            <w:vMerge w:val="continue"/>
          </w:tcPr>
          <w:p>
            <w:pPr>
              <w:spacing w:after="0" w:line="20" w:lineRule="exact"/>
              <w:rPr>
                <w:sz w:val="1"/>
                <w:szCs w:val="1"/>
                <w:color w:val="auto"/>
              </w:rPr>
            </w:pPr>
          </w:p>
        </w:tc>
        <w:tc>
          <w:tcPr>
            <w:tcW w:w="3640" w:type="dxa"/>
            <w:vAlign w:val="bottom"/>
            <w:gridSpan w:val="8"/>
            <w:vMerge w:val="continue"/>
          </w:tcPr>
          <w:p>
            <w:pPr>
              <w:spacing w:after="0" w:line="20" w:lineRule="exact"/>
              <w:rPr>
                <w:sz w:val="1"/>
                <w:szCs w:val="1"/>
                <w:color w:val="auto"/>
              </w:rPr>
            </w:pPr>
          </w:p>
        </w:tc>
        <w:tc>
          <w:tcPr>
            <w:tcW w:w="1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10"/>
            <w:vMerge w:val="continue"/>
          </w:tcPr>
          <w:p>
            <w:pPr>
              <w:spacing w:after="0"/>
              <w:rPr>
                <w:sz w:val="12"/>
                <w:szCs w:val="12"/>
                <w:color w:val="auto"/>
              </w:rPr>
            </w:pPr>
          </w:p>
        </w:tc>
        <w:tc>
          <w:tcPr>
            <w:tcW w:w="3640" w:type="dxa"/>
            <w:vAlign w:val="bottom"/>
            <w:gridSpan w:val="8"/>
            <w:vMerge w:val="continue"/>
          </w:tcPr>
          <w:p>
            <w:pPr>
              <w:spacing w:after="0"/>
              <w:rPr>
                <w:sz w:val="12"/>
                <w:szCs w:val="12"/>
                <w:color w:val="auto"/>
              </w:rPr>
            </w:pPr>
          </w:p>
        </w:tc>
        <w:tc>
          <w:tcPr>
            <w:tcW w:w="1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gridSpan w:val="3"/>
            <w:vMerge w:val="restart"/>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rPr>
              <w:t>FRANCISCO</w:t>
            </w: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restart"/>
          </w:tcPr>
          <w:p>
            <w:pPr>
              <w:spacing w:after="0"/>
              <w:rPr>
                <w:sz w:val="20"/>
                <w:szCs w:val="20"/>
                <w:color w:val="auto"/>
              </w:rPr>
            </w:pPr>
            <w:r>
              <w:rPr>
                <w:rFonts w:ascii="Arial" w:cs="Arial" w:eastAsia="Arial" w:hAnsi="Arial"/>
                <w:sz w:val="17"/>
                <w:szCs w:val="17"/>
                <w:color w:val="0000FF"/>
                <w:w w:val="87"/>
              </w:rPr>
              <w:t>X</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0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gridSpan w:val="2"/>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640" w:type="dxa"/>
            <w:vAlign w:val="bottom"/>
            <w:tcBorders>
              <w:top w:val="single" w:sz="8" w:color="2C2C2C"/>
            </w:tcBorders>
            <w:gridSpan w:val="19"/>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4"/>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8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112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Form: Direct (D)</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40" w:type="dxa"/>
            <w:vAlign w:val="bottom"/>
            <w:gridSpan w:val="4"/>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4"/>
          </w:tcPr>
          <w:p>
            <w:pPr>
              <w:jc w:val="right"/>
              <w:ind w:right="158"/>
              <w:spacing w:after="0"/>
              <w:rPr>
                <w:sz w:val="20"/>
                <w:szCs w:val="20"/>
                <w:color w:val="auto"/>
              </w:rPr>
            </w:pPr>
            <w:r>
              <w:rPr>
                <w:rFonts w:ascii="Arial" w:cs="Arial" w:eastAsia="Arial" w:hAnsi="Arial"/>
                <w:sz w:val="17"/>
                <w:szCs w:val="17"/>
                <w:color w:val="0000FF"/>
              </w:rPr>
              <w:t>07/30/2020</w:t>
            </w: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P</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732</w:t>
            </w:r>
            <w:r>
              <w:rPr>
                <w:rFonts w:ascii="Arial" w:cs="Arial" w:eastAsia="Arial" w:hAnsi="Arial"/>
                <w:sz w:val="22"/>
                <w:szCs w:val="22"/>
                <w:color w:val="008000"/>
                <w:vertAlign w:val="superscript"/>
              </w:rPr>
              <w:t>(1)</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17.99</w:t>
            </w: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92"/>
              </w:rPr>
              <w:t>1,617,684</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(2)(3)</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7"/>
              </w:rPr>
              <w:t>16,166,907</w:t>
            </w:r>
            <w:r>
              <w:rPr>
                <w:rFonts w:ascii="Arial" w:cs="Arial" w:eastAsia="Arial" w:hAnsi="Arial"/>
                <w:sz w:val="22"/>
                <w:szCs w:val="22"/>
                <w:color w:val="008000"/>
                <w:w w:val="87"/>
                <w:vertAlign w:val="superscript"/>
              </w:rPr>
              <w:t>(4)</w:t>
            </w:r>
          </w:p>
        </w:tc>
        <w:tc>
          <w:tcPr>
            <w:tcW w:w="1120" w:type="dxa"/>
            <w:vAlign w:val="bottom"/>
            <w:tcBorders>
              <w:bottom w:val="single" w:sz="8" w:color="2C2C2C"/>
            </w:tcBorders>
            <w:gridSpan w:val="2"/>
          </w:tcPr>
          <w:p>
            <w:pPr>
              <w:ind w:left="4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(5)(6)(7)(8)(9)(10)</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15,000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gridSpan w:val="2"/>
          </w:tcPr>
          <w:p>
            <w:pPr>
              <w:jc w:val="center"/>
              <w:ind w:right="80"/>
              <w:spacing w:after="0"/>
              <w:rPr>
                <w:sz w:val="20"/>
                <w:szCs w:val="20"/>
                <w:color w:val="auto"/>
              </w:rPr>
            </w:pPr>
            <w:r>
              <w:rPr>
                <w:rFonts w:ascii="Arial" w:cs="Arial" w:eastAsia="Arial" w:hAnsi="Arial"/>
                <w:sz w:val="17"/>
                <w:szCs w:val="17"/>
                <w:color w:val="0000FF"/>
                <w:w w:val="88"/>
              </w:rPr>
              <w:t>44,000</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80"/>
              <w:spacing w:after="0" w:line="320" w:lineRule="exact"/>
              <w:rPr>
                <w:sz w:val="20"/>
                <w:szCs w:val="20"/>
                <w:color w:val="auto"/>
              </w:rPr>
            </w:pPr>
            <w:r>
              <w:rPr>
                <w:rFonts w:ascii="Arial" w:cs="Arial" w:eastAsia="Arial" w:hAnsi="Arial"/>
                <w:sz w:val="34"/>
                <w:szCs w:val="34"/>
                <w:color w:val="0000FF"/>
                <w:vertAlign w:val="subscript"/>
              </w:rPr>
              <w:t>D</w:t>
            </w:r>
            <w:r>
              <w:rPr>
                <w:rFonts w:ascii="Arial" w:cs="Arial" w:eastAsia="Arial" w:hAnsi="Arial"/>
                <w:sz w:val="11"/>
                <w:szCs w:val="11"/>
                <w:color w:val="008000"/>
              </w:rPr>
              <w:t>(12)</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2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80" w:type="dxa"/>
            <w:vAlign w:val="bottom"/>
            <w:gridSpan w:val="2"/>
            <w:vMerge w:val="restart"/>
          </w:tcPr>
          <w:p>
            <w:pPr>
              <w:jc w:val="center"/>
              <w:ind w:right="100"/>
              <w:spacing w:after="0"/>
              <w:rPr>
                <w:sz w:val="20"/>
                <w:szCs w:val="20"/>
                <w:color w:val="auto"/>
              </w:rPr>
            </w:pPr>
            <w:r>
              <w:rPr>
                <w:rFonts w:ascii="Arial" w:cs="Arial" w:eastAsia="Arial" w:hAnsi="Arial"/>
                <w:sz w:val="17"/>
                <w:szCs w:val="17"/>
                <w:color w:val="0000FF"/>
                <w:w w:val="91"/>
              </w:rPr>
              <w:t>190,000</w:t>
            </w:r>
          </w:p>
        </w:tc>
        <w:tc>
          <w:tcPr>
            <w:tcW w:w="280" w:type="dxa"/>
            <w:vAlign w:val="bottom"/>
          </w:tcPr>
          <w:p>
            <w:pPr>
              <w:spacing w:after="0"/>
              <w:rPr>
                <w:sz w:val="22"/>
                <w:szCs w:val="22"/>
                <w:color w:val="auto"/>
              </w:rPr>
            </w:pPr>
          </w:p>
        </w:tc>
        <w:tc>
          <w:tcPr>
            <w:tcW w:w="840" w:type="dxa"/>
            <w:vAlign w:val="bottom"/>
            <w:vMerge w:val="restart"/>
          </w:tcPr>
          <w:p>
            <w:pPr>
              <w:ind w:left="20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28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2"/>
                <w:szCs w:val="22"/>
                <w:color w:val="008000"/>
                <w:vertAlign w:val="superscript"/>
              </w:rPr>
              <w:t>(13)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7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3"/>
          </w:tcPr>
          <w:p>
            <w:pPr>
              <w:jc w:val="right"/>
              <w:ind w:right="158"/>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84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3"/>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7"/>
              </w:rPr>
              <w:t>(Instr. 4)</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8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4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4"/>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COLUMN GROUP L P</w:t>
              </w:r>
            </w:hyperlink>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Arial" w:cs="Arial" w:eastAsia="Arial" w:hAnsi="Arial"/>
                <w:sz w:val="17"/>
                <w:szCs w:val="17"/>
                <w:color w:val="0000FF"/>
              </w:rPr>
              <w:t>1700 OWENS STREET</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SUITE 500</w:t>
            </w: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ind w:left="20"/>
              <w:spacing w:after="0"/>
              <w:rPr>
                <w:sz w:val="20"/>
                <w:szCs w:val="20"/>
                <w:color w:val="auto"/>
              </w:rPr>
            </w:pPr>
            <w:r>
              <w:rPr>
                <w:rFonts w:ascii="Arial" w:cs="Arial" w:eastAsia="Arial" w:hAnsi="Arial"/>
                <w:sz w:val="17"/>
                <w:szCs w:val="17"/>
                <w:color w:val="0000FF"/>
              </w:rPr>
              <w:t>CA</w:t>
            </w:r>
          </w:p>
        </w:tc>
        <w:tc>
          <w:tcPr>
            <w:tcW w:w="1340" w:type="dxa"/>
            <w:vAlign w:val="bottom"/>
            <w:vMerge w:val="restart"/>
          </w:tcPr>
          <w:p>
            <w:pPr>
              <w:ind w:left="500"/>
              <w:spacing w:after="0"/>
              <w:rPr>
                <w:sz w:val="20"/>
                <w:szCs w:val="20"/>
                <w:color w:val="auto"/>
              </w:rPr>
            </w:pPr>
            <w:r>
              <w:rPr>
                <w:rFonts w:ascii="Arial" w:cs="Arial" w:eastAsia="Arial" w:hAnsi="Arial"/>
                <w:sz w:val="17"/>
                <w:szCs w:val="17"/>
                <w:color w:val="0000FF"/>
              </w:rPr>
              <w:t>94158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20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740" w:type="dxa"/>
            <w:vAlign w:val="bottom"/>
            <w:tcBorders>
              <w:bottom w:val="single" w:sz="8" w:color="2C2C2C"/>
            </w:tcBorders>
            <w:gridSpan w:val="6"/>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40" w:type="dxa"/>
            <w:vAlign w:val="bottom"/>
            <w:gridSpan w:val="5"/>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COLUMN GROUP III, LP</w:t>
              </w:r>
            </w:hyperlink>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-6506210</wp:posOffset>
            </wp:positionV>
            <wp:extent cx="7031355" cy="7412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031355" cy="7412355"/>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1700 OWENS STREET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109855</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pacing w:after="0" w:line="28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SAN</w:t>
      </w:r>
      <w:r>
        <w:rPr>
          <w:sz w:val="20"/>
          <w:szCs w:val="20"/>
          <w:color w:val="auto"/>
        </w:rPr>
        <w:tab/>
      </w:r>
      <w:r>
        <w:rPr>
          <w:rFonts w:ascii="Arial" w:cs="Arial" w:eastAsia="Arial" w:hAnsi="Arial"/>
          <w:sz w:val="17"/>
          <w:szCs w:val="17"/>
          <w:color w:val="0000FF"/>
        </w:rPr>
        <w:t>CA</w:t>
      </w:r>
      <w:r>
        <w:rPr>
          <w:sz w:val="20"/>
          <w:szCs w:val="20"/>
          <w:color w:val="auto"/>
        </w:rPr>
        <w:tab/>
      </w:r>
      <w:r>
        <w:rPr>
          <w:rFonts w:ascii="Arial" w:cs="Arial" w:eastAsia="Arial" w:hAnsi="Arial"/>
          <w:sz w:val="15"/>
          <w:szCs w:val="15"/>
          <w:color w:val="0000FF"/>
        </w:rPr>
        <w:t>94158</w:t>
      </w:r>
    </w:p>
    <w:p>
      <w:pPr>
        <w:sectPr>
          <w:pgSz w:w="11900" w:h="16838"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FRANCISCO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-118110</wp:posOffset>
            </wp:positionV>
            <wp:extent cx="2783840" cy="81908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2783840" cy="8190865"/>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COLUMN GROUP III-A,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100" w:type="dxa"/>
            <w:vAlign w:val="bottom"/>
            <w:tcBorders>
              <w:bottom w:val="single" w:sz="8" w:color="2C2C2C"/>
            </w:tcBorders>
          </w:tcPr>
          <w:p>
            <w:pPr>
              <w:spacing w:after="0"/>
              <w:rPr>
                <w:sz w:val="7"/>
                <w:szCs w:val="7"/>
                <w:color w:val="auto"/>
              </w:rPr>
            </w:pPr>
          </w:p>
        </w:tc>
        <w:tc>
          <w:tcPr>
            <w:tcW w:w="2720" w:type="dxa"/>
            <w:vAlign w:val="bottom"/>
            <w:tcBorders>
              <w:bottom w:val="single" w:sz="8" w:color="2C2C2C"/>
            </w:tcBorders>
            <w:gridSpan w:val="2"/>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w w:val="99"/>
              </w:rPr>
            </w:pPr>
            <w:hyperlink r:id="rId20">
              <w:r>
                <w:rPr>
                  <w:rFonts w:ascii="Arial" w:cs="Arial" w:eastAsia="Arial" w:hAnsi="Arial"/>
                  <w:sz w:val="21"/>
                  <w:szCs w:val="21"/>
                  <w:u w:val="single" w:color="auto"/>
                  <w:color w:val="0000EE"/>
                  <w:w w:val="99"/>
                </w:rPr>
                <w:t>COLUMN GROUP III GP, LP</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1">
              <w:r>
                <w:rPr>
                  <w:rFonts w:ascii="Arial" w:cs="Arial" w:eastAsia="Arial" w:hAnsi="Arial"/>
                  <w:sz w:val="21"/>
                  <w:szCs w:val="21"/>
                  <w:u w:val="single" w:color="auto"/>
                  <w:color w:val="0000EE"/>
                </w:rPr>
                <w:t>GOEDDEL DAVID V</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7"/>
        </w:trPr>
        <w:tc>
          <w:tcPr>
            <w:tcW w:w="2820" w:type="dxa"/>
            <w:vAlign w:val="bottom"/>
            <w:tcBorders>
              <w:bottom w:val="single" w:sz="8" w:color="2C2C2C"/>
            </w:tcBorders>
            <w:gridSpan w:val="3"/>
          </w:tcPr>
          <w:p>
            <w:pPr>
              <w:spacing w:after="0"/>
              <w:rPr>
                <w:sz w:val="7"/>
                <w:szCs w:val="7"/>
                <w:color w:val="auto"/>
              </w:rPr>
            </w:pPr>
          </w:p>
        </w:tc>
        <w:tc>
          <w:tcPr>
            <w:tcW w:w="1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8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2720" w:type="dxa"/>
            <w:vAlign w:val="bottom"/>
            <w:gridSpan w:val="2"/>
          </w:tcPr>
          <w:p>
            <w:pPr>
              <w:spacing w:after="0"/>
              <w:rPr>
                <w:rFonts w:ascii="Arial" w:cs="Arial" w:eastAsia="Arial" w:hAnsi="Arial"/>
                <w:sz w:val="21"/>
                <w:szCs w:val="21"/>
                <w:u w:val="single" w:color="auto"/>
                <w:color w:val="0000EE"/>
              </w:rPr>
            </w:pPr>
            <w:hyperlink r:id="rId22">
              <w:r>
                <w:rPr>
                  <w:rFonts w:ascii="Arial" w:cs="Arial" w:eastAsia="Arial" w:hAnsi="Arial"/>
                  <w:sz w:val="21"/>
                  <w:szCs w:val="21"/>
                  <w:u w:val="single" w:color="auto"/>
                  <w:color w:val="0000EE"/>
                </w:rPr>
                <w:t>Svennilson Peter</w:t>
              </w:r>
            </w:hyperlink>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100" w:type="dxa"/>
            <w:vAlign w:val="bottom"/>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4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200"/>
              <w:spacing w:after="0"/>
              <w:rPr>
                <w:sz w:val="20"/>
                <w:szCs w:val="20"/>
                <w:color w:val="auto"/>
              </w:rPr>
            </w:pPr>
            <w:r>
              <w:rPr>
                <w:rFonts w:ascii="Arial" w:cs="Arial" w:eastAsia="Arial" w:hAnsi="Arial"/>
                <w:sz w:val="13"/>
                <w:szCs w:val="13"/>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9"/>
        </w:trPr>
        <w:tc>
          <w:tcPr>
            <w:tcW w:w="10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SUITE 500</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13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1"/>
        </w:trPr>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SAN</w:t>
            </w:r>
          </w:p>
        </w:tc>
        <w:tc>
          <w:tcPr>
            <w:tcW w:w="1520" w:type="dxa"/>
            <w:vAlign w:val="bottom"/>
            <w:vMerge w:val="restart"/>
          </w:tcPr>
          <w:p>
            <w:pPr>
              <w:ind w:left="200"/>
              <w:spacing w:after="0"/>
              <w:rPr>
                <w:sz w:val="20"/>
                <w:szCs w:val="20"/>
                <w:color w:val="auto"/>
              </w:rPr>
            </w:pPr>
            <w:r>
              <w:rPr>
                <w:rFonts w:ascii="Arial" w:cs="Arial" w:eastAsia="Arial" w:hAnsi="Arial"/>
                <w:sz w:val="17"/>
                <w:szCs w:val="17"/>
                <w:color w:val="0000FF"/>
              </w:rPr>
              <w:t>CA</w:t>
            </w:r>
          </w:p>
        </w:tc>
        <w:tc>
          <w:tcPr>
            <w:tcW w:w="1440" w:type="dxa"/>
            <w:vAlign w:val="bottom"/>
            <w:vMerge w:val="restart"/>
          </w:tcPr>
          <w:p>
            <w:pPr>
              <w:ind w:left="80"/>
              <w:spacing w:after="0"/>
              <w:rPr>
                <w:sz w:val="20"/>
                <w:szCs w:val="20"/>
                <w:color w:val="auto"/>
              </w:rPr>
            </w:pPr>
            <w:r>
              <w:rPr>
                <w:rFonts w:ascii="Arial" w:cs="Arial" w:eastAsia="Arial" w:hAnsi="Arial"/>
                <w:sz w:val="17"/>
                <w:szCs w:val="17"/>
                <w:color w:val="0000FF"/>
              </w:rPr>
              <w:t>94158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
        </w:trPr>
        <w:tc>
          <w:tcPr>
            <w:tcW w:w="100" w:type="dxa"/>
            <w:vAlign w:val="bottom"/>
          </w:tcPr>
          <w:p>
            <w:pPr>
              <w:spacing w:after="0"/>
              <w:rPr>
                <w:sz w:val="9"/>
                <w:szCs w:val="9"/>
                <w:color w:val="auto"/>
              </w:rPr>
            </w:pPr>
          </w:p>
        </w:tc>
        <w:tc>
          <w:tcPr>
            <w:tcW w:w="1200" w:type="dxa"/>
            <w:vAlign w:val="bottom"/>
            <w:vMerge w:val="restart"/>
          </w:tcPr>
          <w:p>
            <w:pPr>
              <w:spacing w:after="0"/>
              <w:rPr>
                <w:sz w:val="20"/>
                <w:szCs w:val="20"/>
                <w:color w:val="auto"/>
              </w:rPr>
            </w:pPr>
            <w:r>
              <w:rPr>
                <w:rFonts w:ascii="Arial" w:cs="Arial" w:eastAsia="Arial" w:hAnsi="Arial"/>
                <w:sz w:val="17"/>
                <w:szCs w:val="17"/>
                <w:color w:val="0000FF"/>
              </w:rPr>
              <w:t>FRANCISCO</w:t>
            </w:r>
          </w:p>
        </w:tc>
        <w:tc>
          <w:tcPr>
            <w:tcW w:w="15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5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200"/>
              <w:spacing w:after="0"/>
              <w:rPr>
                <w:sz w:val="20"/>
                <w:szCs w:val="20"/>
                <w:color w:val="auto"/>
              </w:rPr>
            </w:pPr>
            <w:r>
              <w:rPr>
                <w:rFonts w:ascii="Arial" w:cs="Arial" w:eastAsia="Arial" w:hAnsi="Arial"/>
                <w:sz w:val="13"/>
                <w:szCs w:val="13"/>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344 shares of Common Stock held directly by The Column Group III, LP ("TCG III LP") and 388 shares of Common Stock held directly by The Column Group III-A, LP ("TCG III-A LP").</w:t>
      </w:r>
    </w:p>
    <w:p>
      <w:pPr>
        <w:spacing w:after="0" w:line="61" w:lineRule="exact"/>
        <w:rPr>
          <w:rFonts w:ascii="Arial" w:cs="Arial" w:eastAsia="Arial" w:hAnsi="Arial"/>
          <w:sz w:val="12"/>
          <w:szCs w:val="12"/>
          <w:color w:val="008000"/>
        </w:rPr>
      </w:pPr>
    </w:p>
    <w:p>
      <w:pPr>
        <w:ind w:left="20" w:right="1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and indirectly held by The Column Group III GP, LP ("TCG III GP"), the general partner of TCG III.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6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180" w:firstLine="7"/>
        <w:spacing w:after="0" w:line="28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Consists of 11,103,333 shares of Common Stock held directly by The Column Group, LP ("TCG LP"), 2,265,758 shares of Common Stock held directly by The Column Group II, LP ("TCG II LP"), 100,000 shares of Common Stock held directly by The Column Group GP, LP ("TCG GP"),100,000 shares of Common Stock held directly by The Column Group Management, LP ("TCGM LP"), 1,298,908 shares of Common Stock held directly by Ponoi Capital, LP ("Ponoi LP"), and 1,298,908 shares of Common Stock held directly by Ponoi Capital II, LP ("Ponoi II LP").</w:t>
      </w:r>
    </w:p>
    <w:p>
      <w:pPr>
        <w:spacing w:after="0" w:line="8" w:lineRule="exact"/>
        <w:rPr>
          <w:rFonts w:ascii="Arial" w:cs="Arial" w:eastAsia="Arial" w:hAnsi="Arial"/>
          <w:sz w:val="12"/>
          <w:szCs w:val="12"/>
          <w:color w:val="008000"/>
        </w:rPr>
      </w:pPr>
    </w:p>
    <w:p>
      <w:pPr>
        <w:ind w:left="20" w:right="8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LP, and indirectly held by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2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 w:right="46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ind w:left="20" w:right="160" w:firstLine="7"/>
        <w:spacing w:after="0" w:line="308"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ectPr>
          <w:pgSz w:w="11900" w:h="16838" w:orient="portrait"/>
          <w:cols w:equalWidth="0" w:num="1">
            <w:col w:w="10900"/>
          </w:cols>
          <w:pgMar w:left="480" w:top="131" w:right="519" w:bottom="0" w:gutter="0" w:footer="0" w:header="0"/>
        </w:sectPr>
      </w:pPr>
    </w:p>
    <w:bookmarkStart w:id="2" w:name="page3"/>
    <w:bookmarkEnd w:id="2"/>
    <w:p>
      <w:pPr>
        <w:ind w:right="4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right="100"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These securities are owned solely by Tim Kutzkey.</w:t>
      </w:r>
    </w:p>
    <w:p>
      <w:pPr>
        <w:spacing w:after="0" w:line="50" w:lineRule="exact"/>
        <w:rPr>
          <w:rFonts w:ascii="Arial" w:cs="Arial" w:eastAsia="Arial" w:hAnsi="Arial"/>
          <w:sz w:val="13"/>
          <w:szCs w:val="13"/>
          <w:color w:val="008000"/>
        </w:rPr>
      </w:pPr>
    </w:p>
    <w:p>
      <w:pPr>
        <w:ind w:firstLine="7"/>
        <w:spacing w:after="0" w:line="245"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Peter Svennilson who is a managing partner at The Column Group which invests through TCG II LP, Ponoi LP, Ponoi II LP, TCG III LP and TCG III-A LP (collectively, the "Funds"), among other entities. Under the partnership agreements of the Funds and his agreement with TCGM LP, Mr. Svennilson is deemed to hold certain of the securities for the economic benefit of the Funds and TCGM LP. The Funds and their respective general partners, TCGM LP and the individual managing partners of such entities may be deemed indirect beneficial owners of such securities. Such reporting persons disclaim beneficial ownership of the securities except to the extent of their pecuniary interest therein.</w:t>
      </w:r>
    </w:p>
    <w:p>
      <w:pPr>
        <w:spacing w:after="0" w:line="29" w:lineRule="exact"/>
        <w:rPr>
          <w:rFonts w:ascii="Arial" w:cs="Arial" w:eastAsia="Arial" w:hAnsi="Arial"/>
          <w:sz w:val="13"/>
          <w:szCs w:val="13"/>
          <w:color w:val="008000"/>
        </w:rPr>
      </w:pPr>
    </w:p>
    <w:p>
      <w:pPr>
        <w:ind w:left="200" w:hanging="193"/>
        <w:spacing w:after="0"/>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securities are directly held by the David V. Goeddel and Alena Z. Goeddel 2004 Trust for which David V. Goeddel and Alena Z. Goeddel serve as co-trustee.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0"/>
          <w:szCs w:val="20"/>
          <w:color w:val="auto"/>
        </w:rPr>
      </w:pPr>
    </w:p>
    <w:p>
      <w:pPr>
        <w:spacing w:after="0"/>
        <w:rPr>
          <w:sz w:val="20"/>
          <w:szCs w:val="20"/>
          <w:color w:val="auto"/>
        </w:rPr>
      </w:pPr>
      <w:r>
        <w:rPr>
          <w:rFonts w:ascii="Arial" w:cs="Arial" w:eastAsia="Arial" w:hAnsi="Arial"/>
          <w:sz w:val="13"/>
          <w:szCs w:val="13"/>
          <w:color w:val="008000"/>
        </w:rPr>
        <w:t>Due to SEC restrictions on the number of reporting owners, this is Form 2 of 2.</w:t>
      </w:r>
    </w:p>
    <w:p>
      <w:pPr>
        <w:spacing w:after="0" w:line="64"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5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08/03/2020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31"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3" Type="http://schemas.openxmlformats.org/officeDocument/2006/relationships/hyperlink" Target="http://www.sec.gov/cgi-bin/browse-edgar?action=getcompany&amp;CIK=0001347769" TargetMode="External"/><Relationship Id="rId14" Type="http://schemas.openxmlformats.org/officeDocument/2006/relationships/hyperlink" Target="http://www.sec.gov/cgi-bin/browse-edgar?action=getcompany&amp;CIK=0001426332" TargetMode="External"/><Relationship Id="rId15" Type="http://schemas.openxmlformats.org/officeDocument/2006/relationships/hyperlink" Target="http://www.sec.gov/cgi-bin/browse-edgar?action=getcompany&amp;CIK=0001668159" TargetMode="External"/><Relationship Id="rId19" Type="http://schemas.openxmlformats.org/officeDocument/2006/relationships/hyperlink" Target="http://www.sec.gov/cgi-bin/browse-edgar?action=getcompany&amp;CIK=0001668085" TargetMode="External"/><Relationship Id="rId20" Type="http://schemas.openxmlformats.org/officeDocument/2006/relationships/hyperlink" Target="http://www.sec.gov/cgi-bin/browse-edgar?action=getcompany&amp;CIK=0001790965" TargetMode="External"/><Relationship Id="rId21" Type="http://schemas.openxmlformats.org/officeDocument/2006/relationships/hyperlink" Target="http://www.sec.gov/cgi-bin/browse-edgar?action=getcompany&amp;CIK=0001182464" TargetMode="External"/><Relationship Id="rId22" Type="http://schemas.openxmlformats.org/officeDocument/2006/relationships/hyperlink" Target="http://www.sec.gov/cgi-bin/browse-edgar?action=getcompany&amp;CIK=00016060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2020-08-03T16:59:01Z</dcterms:created>
  <dcterms:modified xsi:type="dcterms:W3CDTF">2020-08-03T16:59:01Z</dcterms:modified>
</cp:coreProperties>
</file>