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96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ectPr>
          <w:pgSz w:w="11900" w:h="16838" w:orient="portrait"/>
          <w:cols w:equalWidth="0" w:num="1">
            <w:col w:w="11420"/>
          </w:cols>
          <w:pgMar w:left="240" w:top="226" w:right="239" w:bottom="1066"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GOEDDEL DAVID V</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066"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1700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500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066"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4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475,957</w:t>
            </w:r>
            <w:r>
              <w:rPr>
                <w:rFonts w:ascii="Arial" w:cs="Arial" w:eastAsia="Arial" w:hAnsi="Arial"/>
                <w:sz w:val="22"/>
                <w:szCs w:val="22"/>
                <w:color w:val="008000"/>
                <w:vertAlign w:val="superscript"/>
              </w:rPr>
              <w:t>(1)</w:t>
            </w:r>
          </w:p>
        </w:tc>
        <w:tc>
          <w:tcPr>
            <w:tcW w:w="116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w w:val="84"/>
              </w:rPr>
              <w:t>See Footnotes</w:t>
            </w:r>
            <w:r>
              <w:rPr>
                <w:rFonts w:ascii="Arial" w:cs="Arial" w:eastAsia="Arial" w:hAnsi="Arial"/>
                <w:sz w:val="22"/>
                <w:szCs w:val="22"/>
                <w:color w:val="008000"/>
                <w:w w:val="84"/>
                <w:vertAlign w:val="superscript"/>
              </w:rPr>
              <w:t>(2)(3)</w:t>
            </w:r>
          </w:p>
        </w:tc>
        <w:tc>
          <w:tcPr>
            <w:tcW w:w="1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4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5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940" w:type="dxa"/>
            <w:vAlign w:val="bottom"/>
            <w:gridSpan w:val="6"/>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9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5"/>
                <w:szCs w:val="15"/>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A Convertible Preferred Stock</w:t>
            </w:r>
          </w:p>
        </w:tc>
        <w:tc>
          <w:tcPr>
            <w:tcW w:w="13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9"/>
              </w:rPr>
              <w:t>6,150,000</w:t>
            </w:r>
            <w:r>
              <w:rPr>
                <w:rFonts w:ascii="Arial" w:cs="Arial" w:eastAsia="Arial" w:hAnsi="Arial"/>
                <w:sz w:val="22"/>
                <w:szCs w:val="22"/>
                <w:color w:val="008000"/>
                <w:w w:val="89"/>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B Convertible Preferred Stock</w:t>
            </w:r>
          </w:p>
        </w:tc>
        <w:tc>
          <w:tcPr>
            <w:tcW w:w="13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9"/>
              </w:rPr>
              <w:t>4,244,467</w:t>
            </w:r>
            <w:r>
              <w:rPr>
                <w:rFonts w:ascii="Arial" w:cs="Arial" w:eastAsia="Arial" w:hAnsi="Arial"/>
                <w:sz w:val="22"/>
                <w:szCs w:val="22"/>
                <w:color w:val="008000"/>
                <w:w w:val="89"/>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C Convertible Preferred Stock</w:t>
            </w:r>
          </w:p>
        </w:tc>
        <w:tc>
          <w:tcPr>
            <w:tcW w:w="13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9"/>
              </w:rPr>
              <w:t>1,188,667</w:t>
            </w:r>
            <w:r>
              <w:rPr>
                <w:rFonts w:ascii="Arial" w:cs="Arial" w:eastAsia="Arial" w:hAnsi="Arial"/>
                <w:sz w:val="22"/>
                <w:szCs w:val="22"/>
                <w:color w:val="008000"/>
                <w:w w:val="89"/>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D Convertible Preferred Stock</w:t>
            </w:r>
          </w:p>
        </w:tc>
        <w:tc>
          <w:tcPr>
            <w:tcW w:w="130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9"/>
              </w:rPr>
              <w:t>1,700,000</w:t>
            </w:r>
            <w:r>
              <w:rPr>
                <w:rFonts w:ascii="Arial" w:cs="Arial" w:eastAsia="Arial" w:hAnsi="Arial"/>
                <w:sz w:val="22"/>
                <w:szCs w:val="22"/>
                <w:color w:val="008000"/>
                <w:w w:val="89"/>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number of shares of common stock reflects a 1-for-2 reverse stock split, which became effective March 22, 2019. Each share of the Issuer's Series A Preferred Stock, Series B Preferred Stock, Series C Preferred Stock and Series D Preferred Stock is convertible into the Issuer's common stock on a 1-for-2 basis and has no expiration date. The number of underlying shares of common stock reported in Column 3 of Table II reflects the 1-for-2 reverse stock split pursuant to which every 2 shares of Preferred Stock will convert into one share of common stock of the Issuer, effective upon the closing of the Issuer's initial public offering, for no additional consideration.</w:t>
      </w:r>
    </w:p>
    <w:p>
      <w:pPr>
        <w:spacing w:after="0" w:line="3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Consists of 100,000 shares beneficially owned by The Column Group GP, LP ("TCG GP"), 275,957 shares beneficially owned by The Column Group II, L.P., and 100,000 shares beneficially owned by The Column Group Management, LP ("TCGM LP"). The Reporting Person disclaims beneficial ownership of the securities except to the extent of his pecuniary interest therein.</w:t>
      </w:r>
    </w:p>
    <w:p>
      <w:pPr>
        <w:ind w:left="40" w:right="2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II, LP and indirectly held by The Column Group II GP, LP ("TCG II GP") the general partner of The Column Group II, LP. TCG II GP shares voting and dispositive power with respect to these shares. The individual managing partners of TCG GP, TCG II GP and TCGM LP are Peter Svennilson and David Goeddel, who may be deemed to have shared voting, investment and dispositive power with respect to these shares. Each individual managing partner disclaims beneficial ownership of these shares, except to the extent of their pecuniary interest in such shares.</w:t>
      </w:r>
    </w:p>
    <w:p>
      <w:pPr>
        <w:spacing w:after="0" w:line="3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6,000,000 shares beneficially owned by The Column Group LP and 150,000 shares held in trust for which David V. Goeddel and Alena Z. Goeddel serve as co-trustees. The Reporting Person disclaims beneficial ownership of the securities except to the extent of his pecuniary interest therein.</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Consists of 604,467 shares beneficially owned by The Column Group II, LP, 3,600,000 shares beneficially owned by The Column Group, LP and 40,000 shares held in trust for which David V. Goeddel and Alena Z. Goeddel serve as co-trustees. The Reporting Person disclaims beneficial ownership of the securities except to the extent of his pecuniary interest therein.</w:t>
      </w: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18,667 shares beneficially owned by The Column Group II, LP and 1,170,000 shares beneficially owned by The Column Group, LP. The Reporting Person disclaims beneficial ownership of the securities except to the extent of his pecuniary interest therein.</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1,366,667 shares beneficially owned by The Column Group II, LP and 333,333 shares beneficially owned by The Column Group, LP. The Reporting Person disclaims beneficial ownership of the securities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Aetna Wun Trombley,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06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or Aetna Wun Trombley,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17,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V. Goeddel</w:t>
      </w:r>
    </w:p>
    <w:p>
      <w:pPr>
        <w:spacing w:after="0" w:line="238" w:lineRule="auto"/>
        <w:rPr>
          <w:sz w:val="20"/>
          <w:szCs w:val="20"/>
          <w:color w:val="auto"/>
        </w:rPr>
      </w:pPr>
      <w:r>
        <w:rPr>
          <w:rFonts w:ascii="Courier New" w:cs="Courier New" w:eastAsia="Courier New" w:hAnsi="Courier New"/>
          <w:sz w:val="18"/>
          <w:szCs w:val="18"/>
          <w:color w:val="auto"/>
        </w:rPr>
        <w:t>David V. Goeddel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2464"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2019-12-24T04:37:08Z</dcterms:created>
  <dcterms:modified xsi:type="dcterms:W3CDTF">2019-12-24T04:37:08Z</dcterms:modified>
</cp:coreProperties>
</file>