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Lieu Hsiao D</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03/11/2020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NGM BIOPHARMACEUTICALS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NGM</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00" w:type="dxa"/>
            <w:vAlign w:val="bottom"/>
          </w:tcPr>
          <w:p>
            <w:pPr>
              <w:ind w:left="280"/>
              <w:spacing w:after="0"/>
              <w:rPr>
                <w:sz w:val="20"/>
                <w:szCs w:val="20"/>
                <w:color w:val="auto"/>
              </w:rPr>
            </w:pPr>
            <w:r>
              <w:rPr>
                <w:rFonts w:ascii="Arial" w:cs="Arial" w:eastAsia="Arial" w:hAnsi="Arial"/>
                <w:sz w:val="15"/>
                <w:szCs w:val="15"/>
                <w:color w:val="auto"/>
              </w:rPr>
              <w:t>(First)</w:t>
            </w:r>
          </w:p>
        </w:tc>
        <w:tc>
          <w:tcPr>
            <w:tcW w:w="1320" w:type="dxa"/>
            <w:vAlign w:val="bottom"/>
          </w:tcPr>
          <w:p>
            <w:pPr>
              <w:jc w:val="center"/>
              <w:ind w:right="54"/>
              <w:spacing w:after="0"/>
              <w:rPr>
                <w:sz w:val="20"/>
                <w:szCs w:val="20"/>
                <w:color w:val="auto"/>
              </w:rPr>
            </w:pPr>
            <w:r>
              <w:rPr>
                <w:rFonts w:ascii="Arial" w:cs="Arial" w:eastAsia="Arial" w:hAnsi="Arial"/>
                <w:sz w:val="15"/>
                <w:szCs w:val="15"/>
                <w:color w:val="auto"/>
                <w:w w:val="99"/>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w w:val="95"/>
              </w:rPr>
              <w:t>333 OYSTER POINT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000" w:type="dxa"/>
            <w:vAlign w:val="bottom"/>
            <w:tcBorders>
              <w:bottom w:val="single" w:sz="8" w:color="9A9A9A"/>
            </w:tcBorders>
          </w:tcPr>
          <w:p>
            <w:pPr>
              <w:spacing w:after="0"/>
              <w:rPr>
                <w:sz w:val="20"/>
                <w:szCs w:val="20"/>
                <w:color w:val="auto"/>
              </w:rPr>
            </w:pPr>
          </w:p>
        </w:tc>
        <w:tc>
          <w:tcPr>
            <w:tcW w:w="13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1"/>
        </w:trPr>
        <w:tc>
          <w:tcPr>
            <w:tcW w:w="1780" w:type="dxa"/>
            <w:vAlign w:val="bottom"/>
            <w:gridSpan w:val="2"/>
          </w:tcPr>
          <w:p>
            <w:pPr>
              <w:ind w:left="40"/>
              <w:spacing w:after="0" w:line="211" w:lineRule="exact"/>
              <w:rPr>
                <w:sz w:val="20"/>
                <w:szCs w:val="20"/>
                <w:color w:val="auto"/>
              </w:rPr>
            </w:pPr>
            <w:r>
              <w:rPr>
                <w:rFonts w:ascii="Arial" w:cs="Arial" w:eastAsia="Arial" w:hAnsi="Arial"/>
                <w:sz w:val="20"/>
                <w:szCs w:val="20"/>
                <w:color w:val="0000FF"/>
              </w:rPr>
              <w:t>SOUTH SAN</w:t>
            </w:r>
          </w:p>
        </w:tc>
        <w:tc>
          <w:tcPr>
            <w:tcW w:w="1320" w:type="dxa"/>
            <w:vAlign w:val="bottom"/>
          </w:tcPr>
          <w:p>
            <w:pPr>
              <w:spacing w:after="0"/>
              <w:rPr>
                <w:sz w:val="18"/>
                <w:szCs w:val="18"/>
                <w:color w:val="auto"/>
              </w:rPr>
            </w:pPr>
          </w:p>
        </w:tc>
      </w:tr>
      <w:tr>
        <w:trPr>
          <w:trHeight w:val="509"/>
        </w:trPr>
        <w:tc>
          <w:tcPr>
            <w:tcW w:w="1780" w:type="dxa"/>
            <w:vAlign w:val="bottom"/>
            <w:gridSpan w:val="2"/>
          </w:tcPr>
          <w:p>
            <w:pPr>
              <w:ind w:left="40"/>
              <w:spacing w:after="0"/>
              <w:rPr>
                <w:sz w:val="20"/>
                <w:szCs w:val="20"/>
                <w:color w:val="auto"/>
              </w:rPr>
            </w:pPr>
            <w:r>
              <w:rPr>
                <w:rFonts w:ascii="Arial" w:cs="Arial" w:eastAsia="Arial" w:hAnsi="Arial"/>
                <w:sz w:val="20"/>
                <w:szCs w:val="20"/>
                <w:color w:val="0000FF"/>
              </w:rPr>
              <w:t xml:space="preserve">FRANCISCO </w:t>
            </w:r>
            <w:r>
              <w:rPr>
                <w:rFonts w:ascii="Arial" w:cs="Arial" w:eastAsia="Arial" w:hAnsi="Arial"/>
                <w:sz w:val="39"/>
                <w:szCs w:val="39"/>
                <w:color w:val="0000FF"/>
                <w:vertAlign w:val="superscript"/>
              </w:rPr>
              <w:t>CA</w:t>
            </w:r>
          </w:p>
        </w:tc>
        <w:tc>
          <w:tcPr>
            <w:tcW w:w="1320" w:type="dxa"/>
            <w:vAlign w:val="bottom"/>
          </w:tcPr>
          <w:p>
            <w:pPr>
              <w:jc w:val="right"/>
              <w:ind w:right="394"/>
              <w:spacing w:after="0"/>
              <w:rPr>
                <w:sz w:val="20"/>
                <w:szCs w:val="20"/>
                <w:color w:val="auto"/>
              </w:rPr>
            </w:pPr>
            <w:r>
              <w:rPr>
                <w:rFonts w:ascii="Arial" w:cs="Arial" w:eastAsia="Arial" w:hAnsi="Arial"/>
                <w:sz w:val="20"/>
                <w:szCs w:val="20"/>
                <w:color w:val="0000FF"/>
              </w:rPr>
              <w:t>94080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483"/>
        <w:spacing w:after="0"/>
        <w:rPr>
          <w:sz w:val="20"/>
          <w:szCs w:val="20"/>
          <w:color w:val="auto"/>
        </w:rPr>
      </w:pPr>
      <w:r>
        <w:rPr>
          <w:rFonts w:ascii="Arial" w:cs="Arial" w:eastAsia="Arial" w:hAnsi="Arial"/>
          <w:sz w:val="20"/>
          <w:szCs w:val="20"/>
          <w:color w:val="0000FF"/>
        </w:rPr>
        <w:t>SVP, Chief Medical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71"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924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246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1"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(1)</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03/18/2029</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right"/>
              <w:spacing w:after="0"/>
              <w:rPr>
                <w:sz w:val="20"/>
                <w:szCs w:val="20"/>
                <w:color w:val="auto"/>
              </w:rPr>
            </w:pPr>
            <w:r>
              <w:rPr>
                <w:rFonts w:ascii="Arial" w:cs="Arial" w:eastAsia="Arial" w:hAnsi="Arial"/>
                <w:sz w:val="20"/>
                <w:szCs w:val="20"/>
                <w:color w:val="0000FF"/>
              </w:rPr>
              <w:t>200,000</w:t>
            </w:r>
          </w:p>
        </w:tc>
        <w:tc>
          <w:tcPr>
            <w:tcW w:w="1000" w:type="dxa"/>
            <w:vAlign w:val="bottom"/>
          </w:tcPr>
          <w:p>
            <w:pPr>
              <w:ind w:left="280"/>
              <w:spacing w:after="0"/>
              <w:rPr>
                <w:sz w:val="20"/>
                <w:szCs w:val="20"/>
                <w:color w:val="auto"/>
              </w:rPr>
            </w:pPr>
            <w:r>
              <w:rPr>
                <w:rFonts w:ascii="Arial" w:cs="Arial" w:eastAsia="Arial" w:hAnsi="Arial"/>
                <w:sz w:val="20"/>
                <w:szCs w:val="20"/>
                <w:color w:val="0000FF"/>
              </w:rPr>
              <w:t>12.06</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ind w:left="420"/>
              <w:spacing w:after="0"/>
              <w:rPr>
                <w:sz w:val="20"/>
                <w:szCs w:val="20"/>
                <w:color w:val="auto"/>
              </w:rPr>
            </w:pPr>
            <w:r>
              <w:rPr>
                <w:rFonts w:ascii="Arial" w:cs="Arial" w:eastAsia="Arial" w:hAnsi="Arial"/>
                <w:sz w:val="13"/>
                <w:szCs w:val="13"/>
                <w:color w:val="008000"/>
              </w:rPr>
              <w:t>(2)</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02/03/2030</w:t>
            </w:r>
          </w:p>
        </w:tc>
        <w:tc>
          <w:tcPr>
            <w:tcW w:w="174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00" w:type="dxa"/>
            <w:vAlign w:val="bottom"/>
          </w:tcPr>
          <w:p>
            <w:pPr>
              <w:jc w:val="right"/>
              <w:ind w:right="39"/>
              <w:spacing w:after="0"/>
              <w:rPr>
                <w:sz w:val="20"/>
                <w:szCs w:val="20"/>
                <w:color w:val="auto"/>
              </w:rPr>
            </w:pPr>
            <w:r>
              <w:rPr>
                <w:rFonts w:ascii="Arial" w:cs="Arial" w:eastAsia="Arial" w:hAnsi="Arial"/>
                <w:sz w:val="20"/>
                <w:szCs w:val="20"/>
                <w:color w:val="0000FF"/>
              </w:rPr>
              <w:t>25,000</w:t>
            </w:r>
          </w:p>
        </w:tc>
        <w:tc>
          <w:tcPr>
            <w:tcW w:w="1000" w:type="dxa"/>
            <w:vAlign w:val="bottom"/>
          </w:tcPr>
          <w:p>
            <w:pPr>
              <w:ind w:left="280"/>
              <w:spacing w:after="0"/>
              <w:rPr>
                <w:sz w:val="20"/>
                <w:szCs w:val="20"/>
                <w:color w:val="auto"/>
              </w:rPr>
            </w:pPr>
            <w:r>
              <w:rPr>
                <w:rFonts w:ascii="Arial" w:cs="Arial" w:eastAsia="Arial" w:hAnsi="Arial"/>
                <w:sz w:val="20"/>
                <w:szCs w:val="20"/>
                <w:color w:val="0000FF"/>
              </w:rPr>
              <w:t>16.47</w:t>
            </w:r>
          </w:p>
        </w:tc>
        <w:tc>
          <w:tcPr>
            <w:tcW w:w="92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-646430</wp:posOffset>
            </wp:positionV>
            <wp:extent cx="6927850" cy="495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495300"/>
                    </a:xfrm>
                    <a:prstGeom prst="rect">
                      <a:avLst/>
                    </a:prstGeom>
                    <a:noFill/>
                  </pic:spPr>
                </pic:pic>
              </a:graphicData>
            </a:graphic>
          </wp:anchor>
        </w:drawing>
      </w:r>
    </w:p>
    <w:p>
      <w:pPr>
        <w:spacing w:after="0" w:line="15" w:lineRule="exact"/>
        <w:rPr>
          <w:sz w:val="24"/>
          <w:szCs w:val="24"/>
          <w:color w:val="auto"/>
        </w:rPr>
      </w:pPr>
    </w:p>
    <w:p>
      <w:pPr>
        <w:ind w:left="40" w:right="26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stock option vest over a four-year period measured from the grant date, with 1/4th vesting on the first anniversary of the grant date and the remainder vesting in 36 equal monthly installments thereafter.</w:t>
      </w:r>
    </w:p>
    <w:p>
      <w:pPr>
        <w:spacing w:after="0" w:line="26"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shares subject to the stock option vest over a four-year period commencing January 1, 2020, with 1/48th of the shares vesting on a monthly basis.</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Valerie Pierce,</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04/14/2020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w w:val="98"/>
              </w:rPr>
              <w:t>Attorney-in-fact</w:t>
            </w:r>
          </w:p>
        </w:tc>
        <w:tc>
          <w:tcPr>
            <w:tcW w:w="8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5" w:lineRule="exact"/>
        <w:rPr>
          <w:sz w:val="20"/>
          <w:szCs w:val="20"/>
          <w:color w:val="auto"/>
        </w:rPr>
      </w:pPr>
    </w:p>
    <w:p>
      <w:pPr>
        <w:ind w:right="1300" w:firstLine="937"/>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William J. Rieflin, David Woodhouse and Valerie Pierce, or any of them signing singly, and with full power of substitution, the undersigned's true and lawful attorney in fact to:</w:t>
      </w:r>
    </w:p>
    <w:p>
      <w:pPr>
        <w:spacing w:after="0" w:line="6" w:lineRule="exact"/>
        <w:rPr>
          <w:sz w:val="20"/>
          <w:szCs w:val="20"/>
          <w:color w:val="auto"/>
        </w:rPr>
      </w:pPr>
    </w:p>
    <w:p>
      <w:pPr>
        <w:ind w:right="820"/>
        <w:spacing w:after="0" w:line="236" w:lineRule="auto"/>
        <w:tabs>
          <w:tab w:leader="none" w:pos="937"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director and/or more than 10% stockholder of NGM Biopharmaceuticals, Inc. (the "Company"), Forms 3, 4, and 5 in accordance with</w:t>
      </w:r>
    </w:p>
    <w:p>
      <w:pPr>
        <w:spacing w:after="0" w:line="6" w:lineRule="exact"/>
        <w:rPr>
          <w:rFonts w:ascii="Courier New" w:cs="Courier New" w:eastAsia="Courier New" w:hAnsi="Courier New"/>
          <w:sz w:val="20"/>
          <w:szCs w:val="20"/>
          <w:color w:val="auto"/>
        </w:rPr>
      </w:pP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Section 16(a) of the Securities Exchange Act of 1934 and the rules thereunder;</w:t>
      </w:r>
    </w:p>
    <w:p>
      <w:pPr>
        <w:spacing w:after="0" w:line="232" w:lineRule="exact"/>
        <w:rPr>
          <w:sz w:val="20"/>
          <w:szCs w:val="20"/>
          <w:color w:val="auto"/>
        </w:rPr>
      </w:pPr>
    </w:p>
    <w:p>
      <w:pPr>
        <w:spacing w:after="0" w:line="237" w:lineRule="auto"/>
        <w:rPr>
          <w:sz w:val="20"/>
          <w:szCs w:val="20"/>
          <w:color w:val="auto"/>
        </w:rPr>
      </w:pPr>
      <w:r>
        <w:rPr>
          <w:rFonts w:ascii="Courier New" w:cs="Courier New" w:eastAsia="Courier New" w:hAnsi="Courier New"/>
          <w:sz w:val="20"/>
          <w:szCs w:val="20"/>
          <w:color w:val="auto"/>
        </w:rPr>
        <w:t>(2) 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6" w:lineRule="exact"/>
        <w:rPr>
          <w:sz w:val="20"/>
          <w:szCs w:val="20"/>
          <w:color w:val="auto"/>
        </w:rPr>
      </w:pPr>
    </w:p>
    <w:p>
      <w:pPr>
        <w:ind w:right="1180"/>
        <w:spacing w:after="0" w:line="237" w:lineRule="auto"/>
        <w:tabs>
          <w:tab w:leader="none" w:pos="937"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 in fact, may be of benefit to, in the best interest of, or legally required by, the undersigned, it being understood that the documents executed by such attorney in fact on behalf of the undersigned pursuant to this Power of Attorney shall be in such form and shall contain such terms and conditions as such attorney in fact may approve in such attorney in fact's discretion.</w:t>
      </w:r>
    </w:p>
    <w:p>
      <w:pPr>
        <w:spacing w:after="0" w:line="9" w:lineRule="exact"/>
        <w:rPr>
          <w:rFonts w:ascii="Courier New" w:cs="Courier New" w:eastAsia="Courier New" w:hAnsi="Courier New"/>
          <w:sz w:val="20"/>
          <w:szCs w:val="20"/>
          <w:color w:val="auto"/>
        </w:rPr>
      </w:pPr>
    </w:p>
    <w:p>
      <w:pPr>
        <w:ind w:right="940" w:firstLine="937"/>
        <w:spacing w:after="0" w:line="266"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 in 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 in fact, in serving in such capacity at the request of the undersigned, are not assuming, nor is the Company assuming, any of the undersigned's responsibilities to comply with Section 16 of the Securities Exchange Act of 1934.</w:t>
      </w:r>
    </w:p>
    <w:p>
      <w:pPr>
        <w:spacing w:after="0" w:line="215" w:lineRule="exact"/>
        <w:rPr>
          <w:rFonts w:ascii="Courier New" w:cs="Courier New" w:eastAsia="Courier New" w:hAnsi="Courier New"/>
          <w:sz w:val="20"/>
          <w:szCs w:val="20"/>
          <w:color w:val="auto"/>
        </w:rPr>
      </w:pPr>
    </w:p>
    <w:p>
      <w:pPr>
        <w:ind w:right="1300" w:firstLine="937"/>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 in fact.</w:t>
      </w:r>
    </w:p>
    <w:p>
      <w:pPr>
        <w:spacing w:after="0" w:line="6" w:lineRule="exact"/>
        <w:rPr>
          <w:rFonts w:ascii="Courier New" w:cs="Courier New" w:eastAsia="Courier New" w:hAnsi="Courier New"/>
          <w:sz w:val="20"/>
          <w:szCs w:val="20"/>
          <w:color w:val="auto"/>
        </w:rPr>
      </w:pPr>
    </w:p>
    <w:p>
      <w:pPr>
        <w:ind w:right="820" w:firstLine="937"/>
        <w:spacing w:after="0" w:line="236"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April 6, 2020.</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Hsiao Lieu</w:t>
      </w:r>
    </w:p>
    <w:sectPr>
      <w:pgSz w:w="11900" w:h="16838" w:orient="portrait"/>
      <w:cols w:equalWidth="0" w:num="1">
        <w:col w:w="10540"/>
      </w:cols>
      <w:pgMar w:left="480" w:top="136"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468482" TargetMode="External"/><Relationship Id="rId11"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2020-04-14T16:23:49Z</dcterms:created>
  <dcterms:modified xsi:type="dcterms:W3CDTF">2020-04-14T16:23:49Z</dcterms:modified>
</cp:coreProperties>
</file>