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9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GOEDDEL DAVID V</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880"/>
        <w:spacing w:after="0" w:line="371" w:lineRule="auto"/>
        <w:rPr>
          <w:sz w:val="20"/>
          <w:szCs w:val="20"/>
          <w:color w:val="auto"/>
        </w:rPr>
      </w:pPr>
      <w:r>
        <w:rPr>
          <w:rFonts w:ascii="Times New Roman" w:cs="Times New Roman" w:eastAsia="Times New Roman" w:hAnsi="Times New Roman"/>
          <w:sz w:val="16"/>
          <w:szCs w:val="16"/>
          <w:color w:val="0000FF"/>
        </w:rPr>
        <w:t>1 LETTERMAN DRIVE BUILDING D, SUITE DM-900</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2"/>
          <w:szCs w:val="32"/>
          <w:color w:val="0000FF"/>
          <w:vertAlign w:val="superscript"/>
        </w:rPr>
        <w:t>SAN</w:t>
      </w:r>
      <w:r>
        <w:rPr>
          <w:rFonts w:ascii="Times New Roman" w:cs="Times New Roman" w:eastAsia="Times New Roman" w:hAnsi="Times New Roman"/>
          <w:sz w:val="16"/>
          <w:szCs w:val="16"/>
          <w:color w:val="0000FF"/>
        </w:rPr>
        <w:t xml:space="preserve"> CA 94129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NGM BIOPHARMACEUTICALS INC </w:t>
              </w:r>
            </w:hyperlink>
            <w:r>
              <w:rPr>
                <w:rFonts w:ascii="Times New Roman" w:cs="Times New Roman" w:eastAsia="Times New Roman" w:hAnsi="Times New Roman"/>
                <w:sz w:val="16"/>
                <w:szCs w:val="16"/>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3840" w:type="dxa"/>
            <w:vAlign w:val="bottom"/>
            <w:gridSpan w:val="4"/>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49" w:lineRule="exact"/>
              <w:rPr>
                <w:sz w:val="20"/>
                <w:szCs w:val="20"/>
                <w:color w:val="auto"/>
              </w:rPr>
            </w:pPr>
            <w:r>
              <w:rPr>
                <w:rFonts w:ascii="Times New Roman" w:cs="Times New Roman" w:eastAsia="Times New Roman" w:hAnsi="Times New Roman"/>
                <w:sz w:val="5"/>
                <w:szCs w:val="5"/>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vMerge w:val="restart"/>
          </w:tcPr>
          <w:p>
            <w:pPr>
              <w:ind w:left="180"/>
              <w:spacing w:after="0" w:line="49" w:lineRule="exact"/>
              <w:rPr>
                <w:sz w:val="20"/>
                <w:szCs w:val="20"/>
                <w:color w:val="auto"/>
              </w:rPr>
            </w:pPr>
            <w:r>
              <w:rPr>
                <w:rFonts w:ascii="Times New Roman" w:cs="Times New Roman" w:eastAsia="Times New Roman" w:hAnsi="Times New Roman"/>
                <w:sz w:val="5"/>
                <w:szCs w:val="5"/>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3"/>
                <w:szCs w:val="13"/>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tcPr>
          <w:p>
            <w:pPr>
              <w:spacing w:after="0"/>
              <w:rPr>
                <w:sz w:val="13"/>
                <w:szCs w:val="13"/>
                <w:color w:val="auto"/>
              </w:rPr>
            </w:pPr>
          </w:p>
        </w:tc>
        <w:tc>
          <w:tcPr>
            <w:tcW w:w="122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04/05/2024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8"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6" w:lineRule="exact"/>
        <w:rPr>
          <w:sz w:val="20"/>
          <w:szCs w:val="20"/>
          <w:color w:val="auto"/>
        </w:rPr>
      </w:pPr>
    </w:p>
    <w:p>
      <w:pPr>
        <w:ind w:left="320" w:right="400"/>
        <w:spacing w:after="0" w:line="28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0"/>
          <w:szCs w:val="20"/>
          <w:color w:val="auto"/>
        </w:rPr>
      </w:pPr>
    </w:p>
    <w:p>
      <w:pPr>
        <w:sectPr>
          <w:pgSz w:w="11900" w:h="16838" w:orient="portrait"/>
          <w:cols w:equalWidth="0" w:num="2">
            <w:col w:w="3120" w:space="720"/>
            <w:col w:w="7240"/>
          </w:cols>
          <w:pgMar w:left="460" w:top="216" w:right="359" w:bottom="9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6. Ownership</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Form: Direct</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45"/>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jc w:val="center"/>
              <w:ind w:left="129"/>
              <w:spacing w:after="0"/>
              <w:rPr>
                <w:sz w:val="20"/>
                <w:szCs w:val="20"/>
                <w:color w:val="auto"/>
              </w:rPr>
            </w:pPr>
            <w:r>
              <w:rPr>
                <w:rFonts w:ascii="Arial" w:cs="Arial" w:eastAsia="Arial" w:hAnsi="Arial"/>
                <w:sz w:val="11"/>
                <w:szCs w:val="11"/>
                <w:b w:val="1"/>
                <w:bCs w:val="1"/>
                <w:color w:val="auto"/>
              </w:rPr>
              <w:t>(D) or Indirect</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106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66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660" w:type="dxa"/>
            <w:vAlign w:val="bottom"/>
            <w:gridSpan w:val="2"/>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134,180</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Pr>
          <w:p>
            <w:pPr>
              <w:spacing w:after="0"/>
              <w:rPr>
                <w:sz w:val="22"/>
                <w:szCs w:val="22"/>
                <w:color w:val="auto"/>
              </w:rPr>
            </w:pPr>
          </w:p>
        </w:tc>
        <w:tc>
          <w:tcPr>
            <w:tcW w:w="800" w:type="dxa"/>
            <w:vAlign w:val="bottom"/>
            <w:gridSpan w:val="2"/>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Pr>
          <w:p>
            <w:pPr>
              <w:jc w:val="center"/>
              <w:ind w:left="549"/>
              <w:spacing w:after="0"/>
              <w:rPr>
                <w:sz w:val="20"/>
                <w:szCs w:val="20"/>
                <w:color w:val="auto"/>
              </w:rPr>
            </w:pPr>
            <w:r>
              <w:rPr>
                <w:rFonts w:ascii="Times New Roman" w:cs="Times New Roman" w:eastAsia="Times New Roman" w:hAnsi="Times New Roman"/>
                <w:sz w:val="16"/>
                <w:szCs w:val="16"/>
                <w:color w:val="0000FF"/>
              </w:rPr>
              <w:t>D</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660" w:type="dxa"/>
            <w:vAlign w:val="bottom"/>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190,000</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Pr>
          <w:p>
            <w:pPr>
              <w:spacing w:after="0"/>
              <w:rPr>
                <w:sz w:val="20"/>
                <w:szCs w:val="20"/>
                <w:color w:val="auto"/>
              </w:rPr>
            </w:pPr>
          </w:p>
        </w:tc>
        <w:tc>
          <w:tcPr>
            <w:tcW w:w="800" w:type="dxa"/>
            <w:vAlign w:val="bottom"/>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949,862</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1"/>
                <w:szCs w:val="21"/>
                <w:color w:val="008000"/>
                <w:vertAlign w:val="superscript"/>
              </w:rPr>
              <w:t>(4)(5)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2,650,177</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90,442</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11,103,333</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858,035</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968,990</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2,265,758</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1,298,908</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1,298,908</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100,000</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19"/>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rPr>
              <w:t>100,000</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660" w:type="dxa"/>
            <w:vAlign w:val="bottom"/>
            <w:tcBorders>
              <w:top w:val="single" w:sz="8" w:color="2C2C2C"/>
            </w:tcBorders>
            <w:gridSpan w:val="2"/>
            <w:vMerge w:val="restart"/>
          </w:tcPr>
          <w:p>
            <w:pPr>
              <w:jc w:val="center"/>
              <w:ind w:left="465"/>
              <w:spacing w:after="0"/>
              <w:rPr>
                <w:sz w:val="20"/>
                <w:szCs w:val="20"/>
                <w:color w:val="auto"/>
              </w:rPr>
            </w:pPr>
            <w:r>
              <w:rPr>
                <w:rFonts w:ascii="Times New Roman" w:cs="Times New Roman" w:eastAsia="Times New Roman" w:hAnsi="Times New Roman"/>
                <w:sz w:val="16"/>
                <w:szCs w:val="16"/>
                <w:color w:val="0000FF"/>
              </w:rPr>
              <w:t>04/05/2024</w:t>
            </w:r>
          </w:p>
        </w:tc>
        <w:tc>
          <w:tcPr>
            <w:tcW w:w="2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right"/>
              <w:ind w:right="439"/>
              <w:spacing w:after="0"/>
              <w:rPr>
                <w:sz w:val="20"/>
                <w:szCs w:val="20"/>
                <w:color w:val="auto"/>
              </w:rPr>
            </w:pPr>
            <w:r>
              <w:rPr>
                <w:rFonts w:ascii="Times New Roman" w:cs="Times New Roman" w:eastAsia="Times New Roman" w:hAnsi="Times New Roman"/>
                <w:sz w:val="13"/>
                <w:szCs w:val="13"/>
                <w:color w:val="0000FF"/>
              </w:rPr>
              <w:t>J</w:t>
            </w:r>
          </w:p>
        </w:tc>
        <w:tc>
          <w:tcPr>
            <w:tcW w:w="8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w:t>
            </w:r>
          </w:p>
        </w:tc>
        <w:tc>
          <w:tcPr>
            <w:tcW w:w="4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center"/>
              <w:ind w:left="166"/>
              <w:spacing w:after="0"/>
              <w:rPr>
                <w:sz w:val="20"/>
                <w:szCs w:val="20"/>
                <w:color w:val="auto"/>
              </w:rPr>
            </w:pPr>
            <w:r>
              <w:rPr>
                <w:rFonts w:ascii="Times New Roman" w:cs="Times New Roman" w:eastAsia="Times New Roman" w:hAnsi="Times New Roman"/>
                <w:sz w:val="16"/>
                <w:szCs w:val="16"/>
                <w:color w:val="0000FF"/>
                <w:w w:val="99"/>
              </w:rPr>
              <w:t>1,000</w:t>
            </w:r>
          </w:p>
        </w:tc>
        <w:tc>
          <w:tcPr>
            <w:tcW w:w="860" w:type="dxa"/>
            <w:vAlign w:val="bottom"/>
            <w:tcBorders>
              <w:top w:val="single" w:sz="8" w:color="2C2C2C"/>
            </w:tcBorders>
            <w:vMerge w:val="restart"/>
          </w:tcPr>
          <w:p>
            <w:pPr>
              <w:jc w:val="center"/>
              <w:ind w:left="549"/>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38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6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8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jc w:val="right"/>
              <w:ind w:right="419"/>
              <w:spacing w:after="0"/>
              <w:rPr>
                <w:sz w:val="20"/>
                <w:szCs w:val="20"/>
                <w:color w:val="auto"/>
              </w:rPr>
            </w:pPr>
            <w:r>
              <w:rPr>
                <w:rFonts w:ascii="Arial" w:cs="Arial" w:eastAsia="Arial" w:hAnsi="Arial"/>
                <w:sz w:val="11"/>
                <w:szCs w:val="11"/>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0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971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1040"/>
                    </a:xfrm>
                    <a:prstGeom prst="rect">
                      <a:avLst/>
                    </a:prstGeom>
                    <a:noFill/>
                  </pic:spPr>
                </pic:pic>
              </a:graphicData>
            </a:graphic>
          </wp:anchor>
        </w:drawing>
      </w:r>
    </w:p>
    <w:p>
      <w:pPr>
        <w:sectPr>
          <w:pgSz w:w="11900" w:h="16838" w:orient="portrait"/>
          <w:cols w:equalWidth="0" w:num="1">
            <w:col w:w="11080"/>
          </w:cols>
          <w:pgMar w:left="460" w:top="216" w:right="359" w:bottom="9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380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38080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6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6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6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3.69</w:t>
            </w:r>
            <w:r>
              <w:rPr>
                <w:rFonts w:ascii="Times New Roman" w:cs="Times New Roman" w:eastAsia="Times New Roman" w:hAnsi="Times New Roman"/>
                <w:sz w:val="21"/>
                <w:szCs w:val="21"/>
                <w:color w:val="008000"/>
                <w:w w:val="95"/>
                <w:vertAlign w:val="superscript"/>
              </w:rPr>
              <w:t>(17)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78,407</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880" w:type="dxa"/>
            <w:vAlign w:val="bottom"/>
          </w:tcPr>
          <w:p>
            <w:pPr>
              <w:ind w:left="60"/>
              <w:spacing w:after="0" w:line="203" w:lineRule="exact"/>
              <w:rPr>
                <w:sz w:val="20"/>
                <w:szCs w:val="20"/>
                <w:color w:val="auto"/>
              </w:rPr>
            </w:pPr>
            <w:r>
              <w:rPr>
                <w:rFonts w:ascii="Times New Roman" w:cs="Times New Roman" w:eastAsia="Times New Roman" w:hAnsi="Times New Roman"/>
                <w:sz w:val="13"/>
                <w:szCs w:val="13"/>
                <w:color w:val="0000FF"/>
                <w:w w:val="96"/>
              </w:rPr>
              <w:t>05/09/2033</w:t>
            </w:r>
            <w:r>
              <w:rPr>
                <w:rFonts w:ascii="Times New Roman" w:cs="Times New Roman" w:eastAsia="Times New Roman" w:hAnsi="Times New Roman"/>
                <w:sz w:val="21"/>
                <w:szCs w:val="21"/>
                <w:color w:val="008000"/>
                <w:w w:val="96"/>
                <w:vertAlign w:val="superscript"/>
              </w:rPr>
              <w:t>(17)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78,407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6"/>
        </w:trPr>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13.35</w:t>
            </w:r>
            <w:r>
              <w:rPr>
                <w:rFonts w:ascii="Times New Roman" w:cs="Times New Roman" w:eastAsia="Times New Roman" w:hAnsi="Times New Roman"/>
                <w:sz w:val="21"/>
                <w:szCs w:val="21"/>
                <w:color w:val="008000"/>
                <w:w w:val="92"/>
                <w:vertAlign w:val="superscript"/>
              </w:rPr>
              <w:t>(17)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24,222</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880" w:type="dxa"/>
            <w:vAlign w:val="bottom"/>
          </w:tcPr>
          <w:p>
            <w:pPr>
              <w:ind w:left="60"/>
              <w:spacing w:after="0" w:line="203" w:lineRule="exact"/>
              <w:rPr>
                <w:sz w:val="20"/>
                <w:szCs w:val="20"/>
                <w:color w:val="auto"/>
              </w:rPr>
            </w:pPr>
            <w:r>
              <w:rPr>
                <w:rFonts w:ascii="Times New Roman" w:cs="Times New Roman" w:eastAsia="Times New Roman" w:hAnsi="Times New Roman"/>
                <w:sz w:val="13"/>
                <w:szCs w:val="13"/>
                <w:color w:val="0000FF"/>
                <w:w w:val="96"/>
              </w:rPr>
              <w:t>05/07/2032</w:t>
            </w:r>
            <w:r>
              <w:rPr>
                <w:rFonts w:ascii="Times New Roman" w:cs="Times New Roman" w:eastAsia="Times New Roman" w:hAnsi="Times New Roman"/>
                <w:sz w:val="21"/>
                <w:szCs w:val="21"/>
                <w:color w:val="008000"/>
                <w:w w:val="96"/>
                <w:vertAlign w:val="superscript"/>
              </w:rPr>
              <w:t>(17)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24,222</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6"/>
        </w:trPr>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17.24</w:t>
            </w:r>
            <w:r>
              <w:rPr>
                <w:rFonts w:ascii="Times New Roman" w:cs="Times New Roman" w:eastAsia="Times New Roman" w:hAnsi="Times New Roman"/>
                <w:sz w:val="21"/>
                <w:szCs w:val="21"/>
                <w:color w:val="008000"/>
                <w:w w:val="92"/>
                <w:vertAlign w:val="superscript"/>
              </w:rPr>
              <w:t>(17)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19,619</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880" w:type="dxa"/>
            <w:vAlign w:val="bottom"/>
          </w:tcPr>
          <w:p>
            <w:pPr>
              <w:ind w:left="60"/>
              <w:spacing w:after="0" w:line="203" w:lineRule="exact"/>
              <w:rPr>
                <w:sz w:val="20"/>
                <w:szCs w:val="20"/>
                <w:color w:val="auto"/>
              </w:rPr>
            </w:pPr>
            <w:r>
              <w:rPr>
                <w:rFonts w:ascii="Times New Roman" w:cs="Times New Roman" w:eastAsia="Times New Roman" w:hAnsi="Times New Roman"/>
                <w:sz w:val="13"/>
                <w:szCs w:val="13"/>
                <w:color w:val="0000FF"/>
                <w:w w:val="96"/>
              </w:rPr>
              <w:t>06/07/2031</w:t>
            </w:r>
            <w:r>
              <w:rPr>
                <w:rFonts w:ascii="Times New Roman" w:cs="Times New Roman" w:eastAsia="Times New Roman" w:hAnsi="Times New Roman"/>
                <w:sz w:val="21"/>
                <w:szCs w:val="21"/>
                <w:color w:val="008000"/>
                <w:w w:val="96"/>
                <w:vertAlign w:val="superscript"/>
              </w:rPr>
              <w:t>(17)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19,619</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6"/>
        </w:trPr>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13.35</w:t>
            </w:r>
            <w:r>
              <w:rPr>
                <w:rFonts w:ascii="Times New Roman" w:cs="Times New Roman" w:eastAsia="Times New Roman" w:hAnsi="Times New Roman"/>
                <w:sz w:val="21"/>
                <w:szCs w:val="21"/>
                <w:color w:val="008000"/>
                <w:w w:val="92"/>
                <w:vertAlign w:val="superscript"/>
              </w:rPr>
              <w:t>(17)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24,000</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880" w:type="dxa"/>
            <w:vAlign w:val="bottom"/>
          </w:tcPr>
          <w:p>
            <w:pPr>
              <w:ind w:left="60"/>
              <w:spacing w:after="0" w:line="203" w:lineRule="exact"/>
              <w:rPr>
                <w:sz w:val="20"/>
                <w:szCs w:val="20"/>
                <w:color w:val="auto"/>
              </w:rPr>
            </w:pPr>
            <w:r>
              <w:rPr>
                <w:rFonts w:ascii="Times New Roman" w:cs="Times New Roman" w:eastAsia="Times New Roman" w:hAnsi="Times New Roman"/>
                <w:sz w:val="13"/>
                <w:szCs w:val="13"/>
                <w:color w:val="0000FF"/>
                <w:w w:val="96"/>
              </w:rPr>
              <w:t>05/14/2029</w:t>
            </w:r>
            <w:r>
              <w:rPr>
                <w:rFonts w:ascii="Times New Roman" w:cs="Times New Roman" w:eastAsia="Times New Roman" w:hAnsi="Times New Roman"/>
                <w:sz w:val="21"/>
                <w:szCs w:val="21"/>
                <w:color w:val="008000"/>
                <w:w w:val="96"/>
                <w:vertAlign w:val="superscript"/>
              </w:rPr>
              <w:t>(17)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24,000</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76"/>
        </w:trPr>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204" w:lineRule="exact"/>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20.37</w:t>
            </w:r>
            <w:r>
              <w:rPr>
                <w:rFonts w:ascii="Times New Roman" w:cs="Times New Roman" w:eastAsia="Times New Roman" w:hAnsi="Times New Roman"/>
                <w:sz w:val="21"/>
                <w:szCs w:val="21"/>
                <w:color w:val="008000"/>
                <w:w w:val="92"/>
                <w:vertAlign w:val="superscript"/>
              </w:rPr>
              <w:t>(17)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16,806</w:t>
            </w: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008000"/>
              </w:rPr>
              <w:t>(17)</w:t>
            </w:r>
          </w:p>
        </w:tc>
        <w:tc>
          <w:tcPr>
            <w:tcW w:w="880" w:type="dxa"/>
            <w:vAlign w:val="bottom"/>
          </w:tcPr>
          <w:p>
            <w:pPr>
              <w:ind w:left="60"/>
              <w:spacing w:after="0" w:line="203" w:lineRule="exact"/>
              <w:rPr>
                <w:sz w:val="20"/>
                <w:szCs w:val="20"/>
                <w:color w:val="auto"/>
              </w:rPr>
            </w:pPr>
            <w:r>
              <w:rPr>
                <w:rFonts w:ascii="Times New Roman" w:cs="Times New Roman" w:eastAsia="Times New Roman" w:hAnsi="Times New Roman"/>
                <w:sz w:val="13"/>
                <w:szCs w:val="13"/>
                <w:color w:val="0000FF"/>
                <w:w w:val="96"/>
              </w:rPr>
              <w:t>05/19/2030</w:t>
            </w:r>
            <w:r>
              <w:rPr>
                <w:rFonts w:ascii="Times New Roman" w:cs="Times New Roman" w:eastAsia="Times New Roman" w:hAnsi="Times New Roman"/>
                <w:sz w:val="21"/>
                <w:szCs w:val="21"/>
                <w:color w:val="008000"/>
                <w:w w:val="96"/>
                <w:vertAlign w:val="superscript"/>
              </w:rPr>
              <w:t>(17)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16,806</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92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ind w:left="1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140"/>
        <w:spacing w:after="0" w:line="232"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2024, the Issuer, Atlas Neon Parent, Inc. ("Parent") and Atlas Neon Merger Sub, Inc., a wholly-owned subsidiary of Parent ("Purchaser") entered into an Agreement and Plan of Merger, pursuant to which the Purchaser completed a tender offer for the shares of common stock of the Issuer and thereafter merged with and into the Issuer effective as of April 5, 2024 (the "Effective Time"). Concurrently with the execution of the Merger Agreement, Parent and Purchaser entered into a rollover agreement, dated as of the date of the Merger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 Agreement"). (cont'd in FN2)</w:t>
      </w:r>
    </w:p>
    <w:p>
      <w:pPr>
        <w:spacing w:after="0" w:line="26" w:lineRule="exact"/>
        <w:rPr>
          <w:rFonts w:ascii="Times New Roman" w:cs="Times New Roman" w:eastAsia="Times New Roman" w:hAnsi="Times New Roman"/>
          <w:sz w:val="13"/>
          <w:szCs w:val="13"/>
          <w:color w:val="008000"/>
        </w:rPr>
      </w:pPr>
    </w:p>
    <w:p>
      <w:pPr>
        <w:ind w:left="20" w:right="140"/>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FN1) In addition, Parent and Purchaser entered into a rollover agreement, dated as of the date of the Merger Agreement (supplemented by the joinder thereto), with certain of NGM's other stockholders, including Dr. Goeddel (the "Stockholder Rollover Agreement" and, together with the TCG Rollover Agreement, the "Rollover Agreements"). Pursuant to the Rollover Agreements, every 1 share of the Issuer subject to the Rollover Agreement was exchanged for 100 shares of Parent. This Form 4 reports securities disposed of pursuant to the Rollover Agreements.</w:t>
      </w:r>
    </w:p>
    <w:p>
      <w:pPr>
        <w:spacing w:after="0" w:line="26"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were directly held by the David V. Goeddel and Alena Z. Goeddel 2004 Trust and the Alena Z. Goeddel Irrevocable Trust for which the Reporting Person and Alena Z. Goeddel serve as co-trustee.</w:t>
      </w:r>
    </w:p>
    <w:p>
      <w:pPr>
        <w:spacing w:after="0" w:line="52" w:lineRule="exact"/>
        <w:rPr>
          <w:rFonts w:ascii="Times New Roman" w:cs="Times New Roman" w:eastAsia="Times New Roman" w:hAnsi="Times New Roman"/>
          <w:sz w:val="12"/>
          <w:szCs w:val="12"/>
          <w:color w:val="008000"/>
        </w:rPr>
      </w:pPr>
    </w:p>
    <w:p>
      <w:pPr>
        <w:ind w:left="20" w:right="120"/>
        <w:spacing w:after="0" w:line="258"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were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 (cont'd in FN5)</w:t>
      </w:r>
    </w:p>
    <w:p>
      <w:pPr>
        <w:spacing w:after="0" w:line="15" w:lineRule="exact"/>
        <w:rPr>
          <w:rFonts w:ascii="Times New Roman" w:cs="Times New Roman" w:eastAsia="Times New Roman" w:hAnsi="Times New Roman"/>
          <w:sz w:val="12"/>
          <w:szCs w:val="12"/>
          <w:color w:val="008000"/>
        </w:rPr>
      </w:pPr>
    </w:p>
    <w:p>
      <w:pPr>
        <w:ind w:left="20" w:right="140"/>
        <w:spacing w:after="0" w:line="249"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 4)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19" w:lineRule="exact"/>
        <w:rPr>
          <w:rFonts w:ascii="Times New Roman" w:cs="Times New Roman" w:eastAsia="Times New Roman" w:hAnsi="Times New Roman"/>
          <w:sz w:val="13"/>
          <w:szCs w:val="13"/>
          <w:color w:val="008000"/>
        </w:rPr>
      </w:pPr>
    </w:p>
    <w:p>
      <w:pPr>
        <w:ind w:left="20" w:right="220"/>
        <w:spacing w:after="0" w:line="232"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00"/>
        <w:spacing w:after="0" w:line="232"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40"/>
        <w:spacing w:after="0" w:line="234"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TCG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60"/>
        <w:spacing w:after="0" w:line="234"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300"/>
        <w:spacing w:after="0" w:line="266"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were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10" w:lineRule="exact"/>
        <w:rPr>
          <w:rFonts w:ascii="Times New Roman" w:cs="Times New Roman" w:eastAsia="Times New Roman" w:hAnsi="Times New Roman"/>
          <w:sz w:val="12"/>
          <w:szCs w:val="12"/>
          <w:color w:val="008000"/>
        </w:rPr>
      </w:pPr>
    </w:p>
    <w:p>
      <w:pPr>
        <w:ind w:left="20" w:right="240"/>
        <w:spacing w:after="0" w:line="237" w:lineRule="auto"/>
        <w:tabs>
          <w:tab w:leader="none" w:pos="20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40"/>
        <w:spacing w:after="0" w:line="266"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were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10" w:lineRule="exact"/>
        <w:rPr>
          <w:rFonts w:ascii="Times New Roman" w:cs="Times New Roman" w:eastAsia="Times New Roman" w:hAnsi="Times New Roman"/>
          <w:sz w:val="12"/>
          <w:szCs w:val="12"/>
          <w:color w:val="008000"/>
        </w:rPr>
      </w:pPr>
    </w:p>
    <w:p>
      <w:pPr>
        <w:ind w:left="20" w:right="240"/>
        <w:spacing w:after="0" w:line="234"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420"/>
        <w:spacing w:after="0" w:line="286"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securities were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1" w:lineRule="exact"/>
        <w:rPr>
          <w:rFonts w:ascii="Times New Roman" w:cs="Times New Roman" w:eastAsia="Times New Roman" w:hAnsi="Times New Roman"/>
          <w:sz w:val="12"/>
          <w:szCs w:val="12"/>
          <w:color w:val="008000"/>
        </w:rPr>
      </w:pPr>
    </w:p>
    <w:p>
      <w:pPr>
        <w:ind w:left="20" w:right="120"/>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were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40"/>
        <w:spacing w:after="0" w:line="237"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Effective Time, Purchaser merged with and into the Issuer pursuant to Section 251(h) of the Delaware General Corporation Law, with the Issuer surviving as a wholly-owned subsidiary of the Parent. As a result, Parent holds all of the issued and outstanding shares of common stock (equaling 1,000 shares) of the Issuer. TCG LP owns 28.1% of Parent and is the general partner of Parent. Peter Svennilson and Dr. Goeddel are the managing partners of TCG GP, which is the general partner of TCG LP.</w:t>
      </w:r>
    </w:p>
    <w:p>
      <w:pPr>
        <w:spacing w:after="0" w:line="26"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each option was canceled for no consideration due to the exercise price of each such option exceeding the offer price of $1.55 per share.</w:t>
      </w:r>
    </w:p>
    <w:p>
      <w:pPr>
        <w:ind w:left="6580"/>
        <w:spacing w:after="0" w:line="187" w:lineRule="auto"/>
        <w:rPr>
          <w:sz w:val="20"/>
          <w:szCs w:val="20"/>
          <w:color w:val="auto"/>
        </w:rPr>
      </w:pPr>
      <w:r>
        <w:rPr>
          <w:rFonts w:ascii="Times New Roman" w:cs="Times New Roman" w:eastAsia="Times New Roman" w:hAnsi="Times New Roman"/>
          <w:sz w:val="16"/>
          <w:szCs w:val="16"/>
          <w:color w:val="0000FF"/>
        </w:rPr>
        <w:t xml:space="preserve">/s/ James Evangelista, Attorney- </w:t>
      </w:r>
      <w:r>
        <w:rPr>
          <w:rFonts w:ascii="Times New Roman" w:cs="Times New Roman" w:eastAsia="Times New Roman" w:hAnsi="Times New Roman"/>
          <w:sz w:val="32"/>
          <w:szCs w:val="32"/>
          <w:color w:val="0000FF"/>
          <w:vertAlign w:val="subscript"/>
        </w:rPr>
        <w:t>04/08/2024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-14605</wp:posOffset>
            </wp:positionV>
            <wp:extent cx="273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050" cy="8255"/>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spacing w:after="0" w:line="331"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2024-04-08T19:15:57Z</dcterms:created>
  <dcterms:modified xsi:type="dcterms:W3CDTF">2024-04-08T19:15:57Z</dcterms:modified>
</cp:coreProperties>
</file>