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243"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FORM 10-Q</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3800" w:right="1780" w:hanging="3792"/>
        <w:spacing w:after="0" w:line="391" w:lineRule="auto"/>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52" w:lineRule="exact"/>
        <w:rPr>
          <w:sz w:val="24"/>
          <w:szCs w:val="24"/>
          <w:color w:val="auto"/>
        </w:rPr>
      </w:pPr>
    </w:p>
    <w:p>
      <w:pPr>
        <w:ind w:left="3600" w:right="1780" w:hanging="3592"/>
        <w:spacing w:after="0" w:line="477" w:lineRule="auto"/>
        <w:tabs>
          <w:tab w:leader="none" w:pos="53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 to _______</w:t>
      </w:r>
    </w:p>
    <w:p>
      <w:pPr>
        <w:ind w:left="41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001-38853</w:t>
      </w:r>
    </w:p>
    <w:p>
      <w:pPr>
        <w:spacing w:after="0" w:line="194"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NGM BIOPHARMACEUTICALS, INC.</w:t>
      </w:r>
    </w:p>
    <w:p>
      <w:pPr>
        <w:spacing w:after="0" w:line="5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1" w:lineRule="exact"/>
        <w:rPr>
          <w:sz w:val="24"/>
          <w:szCs w:val="24"/>
          <w:color w:val="auto"/>
        </w:rPr>
      </w:pPr>
    </w:p>
    <w:tbl>
      <w:tblPr>
        <w:tblLayout w:type="fixed"/>
        <w:tblInd w:w="1680" w:type="dxa"/>
        <w:tblCellMar>
          <w:top w:w="0" w:type="dxa"/>
          <w:left w:w="0" w:type="dxa"/>
          <w:bottom w:w="0" w:type="dxa"/>
          <w:right w:w="0" w:type="dxa"/>
        </w:tblCellMar>
      </w:tblPr>
      <w:tr>
        <w:trPr>
          <w:trHeight w:val="207"/>
        </w:trPr>
        <w:tc>
          <w:tcPr>
            <w:tcW w:w="4360" w:type="dxa"/>
            <w:vAlign w:val="bottom"/>
          </w:tcPr>
          <w:p>
            <w:pPr>
              <w:jc w:val="center"/>
              <w:ind w:right="1924"/>
              <w:spacing w:after="0"/>
              <w:rPr>
                <w:sz w:val="20"/>
                <w:szCs w:val="20"/>
                <w:color w:val="auto"/>
              </w:rPr>
            </w:pPr>
            <w:r>
              <w:rPr>
                <w:rFonts w:ascii="Arial" w:cs="Arial" w:eastAsia="Arial" w:hAnsi="Arial"/>
                <w:sz w:val="18"/>
                <w:szCs w:val="18"/>
                <w:b w:val="1"/>
                <w:bCs w:val="1"/>
                <w:color w:val="auto"/>
              </w:rPr>
              <w:t>Delaware</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26-1679911</w:t>
            </w:r>
          </w:p>
        </w:tc>
      </w:tr>
      <w:tr>
        <w:trPr>
          <w:trHeight w:val="135"/>
        </w:trPr>
        <w:tc>
          <w:tcPr>
            <w:tcW w:w="4360" w:type="dxa"/>
            <w:vAlign w:val="bottom"/>
          </w:tcPr>
          <w:p>
            <w:pPr>
              <w:jc w:val="center"/>
              <w:ind w:right="1924"/>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060" w:type="dxa"/>
            <w:vAlign w:val="bottom"/>
          </w:tcPr>
          <w:p>
            <w:pPr>
              <w:jc w:val="center"/>
              <w:ind w:left="1906"/>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34"/>
        </w:trPr>
        <w:tc>
          <w:tcPr>
            <w:tcW w:w="4360" w:type="dxa"/>
            <w:vAlign w:val="bottom"/>
          </w:tcPr>
          <w:p>
            <w:pPr>
              <w:jc w:val="center"/>
              <w:ind w:right="1924"/>
              <w:spacing w:after="0" w:line="134" w:lineRule="exact"/>
              <w:rPr>
                <w:sz w:val="20"/>
                <w:szCs w:val="20"/>
                <w:color w:val="auto"/>
              </w:rPr>
            </w:pPr>
            <w:r>
              <w:rPr>
                <w:rFonts w:ascii="Arial" w:cs="Arial" w:eastAsia="Arial" w:hAnsi="Arial"/>
                <w:sz w:val="13"/>
                <w:szCs w:val="13"/>
                <w:b w:val="1"/>
                <w:bCs w:val="1"/>
                <w:color w:val="auto"/>
                <w:w w:val="96"/>
              </w:rPr>
              <w:t>incorporation or organization)</w:t>
            </w:r>
          </w:p>
        </w:tc>
        <w:tc>
          <w:tcPr>
            <w:tcW w:w="3060" w:type="dxa"/>
            <w:vAlign w:val="bottom"/>
          </w:tcPr>
          <w:p>
            <w:pPr>
              <w:jc w:val="center"/>
              <w:ind w:left="1926"/>
              <w:spacing w:after="0" w:line="134" w:lineRule="exact"/>
              <w:rPr>
                <w:sz w:val="20"/>
                <w:szCs w:val="20"/>
                <w:color w:val="auto"/>
              </w:rPr>
            </w:pPr>
            <w:r>
              <w:rPr>
                <w:rFonts w:ascii="Arial" w:cs="Arial" w:eastAsia="Arial" w:hAnsi="Arial"/>
                <w:sz w:val="13"/>
                <w:szCs w:val="13"/>
                <w:b w:val="1"/>
                <w:bCs w:val="1"/>
                <w:color w:val="auto"/>
                <w:w w:val="96"/>
              </w:rPr>
              <w:t>Identification No.)</w:t>
            </w:r>
          </w:p>
        </w:tc>
      </w:tr>
      <w:tr>
        <w:trPr>
          <w:trHeight w:val="202"/>
        </w:trPr>
        <w:tc>
          <w:tcPr>
            <w:tcW w:w="4360" w:type="dxa"/>
            <w:vAlign w:val="bottom"/>
          </w:tcPr>
          <w:p>
            <w:pPr>
              <w:jc w:val="center"/>
              <w:ind w:right="1924"/>
              <w:spacing w:after="0" w:line="202" w:lineRule="exact"/>
              <w:rPr>
                <w:sz w:val="20"/>
                <w:szCs w:val="20"/>
                <w:color w:val="auto"/>
              </w:rPr>
            </w:pPr>
            <w:r>
              <w:rPr>
                <w:rFonts w:ascii="Arial" w:cs="Arial" w:eastAsia="Arial" w:hAnsi="Arial"/>
                <w:sz w:val="18"/>
                <w:szCs w:val="18"/>
                <w:b w:val="1"/>
                <w:bCs w:val="1"/>
                <w:color w:val="auto"/>
              </w:rPr>
              <w:t>333 Oyster Point Boulevard</w:t>
            </w:r>
          </w:p>
        </w:tc>
        <w:tc>
          <w:tcPr>
            <w:tcW w:w="3060" w:type="dxa"/>
            <w:vAlign w:val="bottom"/>
          </w:tcPr>
          <w:p>
            <w:pPr>
              <w:spacing w:after="0"/>
              <w:rPr>
                <w:sz w:val="17"/>
                <w:szCs w:val="17"/>
                <w:color w:val="auto"/>
              </w:rPr>
            </w:pPr>
          </w:p>
        </w:tc>
      </w:tr>
      <w:tr>
        <w:trPr>
          <w:trHeight w:val="203"/>
        </w:trPr>
        <w:tc>
          <w:tcPr>
            <w:tcW w:w="4360" w:type="dxa"/>
            <w:vAlign w:val="bottom"/>
          </w:tcPr>
          <w:p>
            <w:pPr>
              <w:jc w:val="center"/>
              <w:ind w:right="1924"/>
              <w:spacing w:after="0" w:line="203" w:lineRule="exact"/>
              <w:rPr>
                <w:sz w:val="20"/>
                <w:szCs w:val="20"/>
                <w:color w:val="auto"/>
              </w:rPr>
            </w:pPr>
            <w:r>
              <w:rPr>
                <w:rFonts w:ascii="Arial" w:cs="Arial" w:eastAsia="Arial" w:hAnsi="Arial"/>
                <w:sz w:val="18"/>
                <w:szCs w:val="18"/>
                <w:b w:val="1"/>
                <w:bCs w:val="1"/>
                <w:color w:val="auto"/>
              </w:rPr>
              <w:t>South San Francisco, CA</w:t>
            </w:r>
          </w:p>
        </w:tc>
        <w:tc>
          <w:tcPr>
            <w:tcW w:w="3060" w:type="dxa"/>
            <w:vAlign w:val="bottom"/>
          </w:tcPr>
          <w:p>
            <w:pPr>
              <w:jc w:val="right"/>
              <w:ind w:right="206"/>
              <w:spacing w:after="0" w:line="203" w:lineRule="exact"/>
              <w:rPr>
                <w:sz w:val="20"/>
                <w:szCs w:val="20"/>
                <w:color w:val="auto"/>
              </w:rPr>
            </w:pPr>
            <w:r>
              <w:rPr>
                <w:rFonts w:ascii="Arial" w:cs="Arial" w:eastAsia="Arial" w:hAnsi="Arial"/>
                <w:sz w:val="18"/>
                <w:szCs w:val="18"/>
                <w:b w:val="1"/>
                <w:bCs w:val="1"/>
                <w:color w:val="auto"/>
              </w:rPr>
              <w:t>94080</w:t>
            </w:r>
          </w:p>
        </w:tc>
      </w:tr>
      <w:tr>
        <w:trPr>
          <w:trHeight w:val="168"/>
        </w:trPr>
        <w:tc>
          <w:tcPr>
            <w:tcW w:w="4360" w:type="dxa"/>
            <w:vAlign w:val="bottom"/>
          </w:tcPr>
          <w:p>
            <w:pPr>
              <w:jc w:val="center"/>
              <w:ind w:right="1924"/>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3060" w:type="dxa"/>
            <w:vAlign w:val="bottom"/>
          </w:tcPr>
          <w:p>
            <w:pPr>
              <w:jc w:val="center"/>
              <w:ind w:left="1926"/>
              <w:spacing w:after="0"/>
              <w:rPr>
                <w:sz w:val="20"/>
                <w:szCs w:val="20"/>
                <w:color w:val="auto"/>
              </w:rPr>
            </w:pPr>
            <w:r>
              <w:rPr>
                <w:rFonts w:ascii="Arial" w:cs="Arial" w:eastAsia="Arial" w:hAnsi="Arial"/>
                <w:sz w:val="13"/>
                <w:szCs w:val="13"/>
                <w:b w:val="1"/>
                <w:bCs w:val="1"/>
                <w:color w:val="auto"/>
                <w:w w:val="96"/>
              </w:rPr>
              <w:t>(Zip Code)</w:t>
            </w:r>
          </w:p>
        </w:tc>
      </w:tr>
    </w:tbl>
    <w:p>
      <w:pPr>
        <w:spacing w:after="0" w:line="74"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Registrant’s telephone number, including area code: (650) 243-5555</w:t>
      </w:r>
    </w:p>
    <w:p>
      <w:pPr>
        <w:spacing w:after="0" w:line="128" w:lineRule="exact"/>
        <w:rPr>
          <w:sz w:val="24"/>
          <w:szCs w:val="24"/>
          <w:color w:val="auto"/>
        </w:rPr>
      </w:pPr>
    </w:p>
    <w:p>
      <w:pPr>
        <w:ind w:left="6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 w:lineRule="exact"/>
        <w:rPr>
          <w:sz w:val="24"/>
          <w:szCs w:val="24"/>
          <w:color w:val="auto"/>
        </w:rPr>
      </w:pPr>
    </w:p>
    <w:tbl>
      <w:tblPr>
        <w:tblLayout w:type="fixed"/>
        <w:tblInd w:w="130" w:type="dxa"/>
        <w:tblCellMar>
          <w:top w:w="0" w:type="dxa"/>
          <w:left w:w="0" w:type="dxa"/>
          <w:bottom w:w="0" w:type="dxa"/>
          <w:right w:w="0" w:type="dxa"/>
        </w:tblCellMar>
      </w:tblPr>
      <w:tr>
        <w:trPr>
          <w:trHeight w:val="272"/>
        </w:trPr>
        <w:tc>
          <w:tcPr>
            <w:tcW w:w="4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Trading</w:t>
            </w:r>
          </w:p>
        </w:tc>
        <w:tc>
          <w:tcPr>
            <w:tcW w:w="5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Securities are Registered</w:t>
            </w:r>
          </w:p>
        </w:tc>
      </w:tr>
      <w:tr>
        <w:trPr>
          <w:trHeight w:val="207"/>
        </w:trPr>
        <w:tc>
          <w:tcPr>
            <w:tcW w:w="4780" w:type="dxa"/>
            <w:vAlign w:val="bottom"/>
            <w:tcBorders>
              <w:left w:val="single" w:sz="8" w:color="auto"/>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Symbol</w:t>
            </w:r>
          </w:p>
        </w:tc>
        <w:tc>
          <w:tcPr>
            <w:tcW w:w="5480" w:type="dxa"/>
            <w:vAlign w:val="bottom"/>
            <w:tcBorders>
              <w:bottom w:val="single" w:sz="8" w:color="auto"/>
            </w:tcBorders>
          </w:tcPr>
          <w:p>
            <w:pPr>
              <w:spacing w:after="0"/>
              <w:rPr>
                <w:sz w:val="17"/>
                <w:szCs w:val="17"/>
                <w:color w:val="auto"/>
              </w:rPr>
            </w:pPr>
          </w:p>
        </w:tc>
      </w:tr>
      <w:tr>
        <w:trPr>
          <w:trHeight w:val="29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NGM</w:t>
            </w: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110" w:lineRule="exact"/>
        <w:rPr>
          <w:sz w:val="24"/>
          <w:szCs w:val="24"/>
          <w:color w:val="auto"/>
        </w:rPr>
      </w:pPr>
    </w:p>
    <w:p>
      <w:pPr>
        <w:ind w:right="140" w:firstLine="608"/>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160" w:firstLine="608"/>
        <w:spacing w:after="0" w:line="24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84" w:lineRule="exact"/>
        <w:tabs>
          <w:tab w:leader="none" w:pos="560" w:val="left"/>
          <w:tab w:leader="none" w:pos="12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180" w:firstLine="608"/>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spacing w:after="0"/>
              <w:rPr>
                <w:sz w:val="22"/>
                <w:szCs w:val="22"/>
                <w:color w:val="auto"/>
              </w:rPr>
            </w:pPr>
          </w:p>
        </w:tc>
        <w:tc>
          <w:tcPr>
            <w:tcW w:w="300" w:type="dxa"/>
            <w:vAlign w:val="bottom"/>
          </w:tcPr>
          <w:p>
            <w:pPr>
              <w:spacing w:after="0"/>
              <w:rPr>
                <w:sz w:val="22"/>
                <w:szCs w:val="22"/>
                <w:color w:val="auto"/>
              </w:rPr>
            </w:pPr>
          </w:p>
        </w:tc>
      </w:tr>
    </w:tbl>
    <w:p>
      <w:pPr>
        <w:spacing w:after="0" w:line="111" w:lineRule="exact"/>
        <w:rPr>
          <w:sz w:val="24"/>
          <w:szCs w:val="24"/>
          <w:color w:val="auto"/>
        </w:rPr>
      </w:pPr>
    </w:p>
    <w:p>
      <w:pPr>
        <w:ind w:right="340" w:firstLine="608"/>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620" w:right="152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9, 2019, the registrant had 66,042,966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535" w:right="1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gridSpan w:val="8"/>
          </w:tcPr>
          <w:p>
            <w:pPr>
              <w:ind w:left="400"/>
              <w:spacing w:after="0"/>
              <w:rPr>
                <w:sz w:val="20"/>
                <w:szCs w:val="20"/>
                <w:color w:val="auto"/>
              </w:rPr>
            </w:pPr>
            <w:r>
              <w:rPr>
                <w:rFonts w:ascii="Arial" w:cs="Arial" w:eastAsia="Arial" w:hAnsi="Arial"/>
                <w:sz w:val="18"/>
                <w:szCs w:val="18"/>
                <w:b w:val="1"/>
                <w:bCs w:val="1"/>
                <w:color w:val="auto"/>
              </w:rPr>
              <w:t>Table of Contents</w:t>
            </w:r>
          </w:p>
        </w:tc>
      </w:tr>
      <w:tr>
        <w:trPr>
          <w:trHeight w:val="620"/>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0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0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92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Comprehensive Loss</w:t>
              </w:r>
            </w:hyperlink>
          </w:p>
        </w:tc>
        <w:tc>
          <w:tcPr>
            <w:tcW w:w="2140" w:type="dxa"/>
            <w:vAlign w:val="bottom"/>
            <w:gridSpan w:val="3"/>
          </w:tcPr>
          <w:p>
            <w:pPr>
              <w:spacing w:after="0"/>
              <w:rPr>
                <w:sz w:val="19"/>
                <w:szCs w:val="19"/>
                <w:color w:val="auto"/>
              </w:rPr>
            </w:pPr>
          </w:p>
        </w:tc>
      </w:tr>
      <w:tr>
        <w:trPr>
          <w:trHeight w:val="223"/>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98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Convertible Preferred Stock and Stockholders’ Equity (Deficit)</w:t>
              </w:r>
            </w:hyperlink>
          </w:p>
        </w:tc>
        <w:tc>
          <w:tcPr>
            <w:tcW w:w="80" w:type="dxa"/>
            <w:vAlign w:val="bottom"/>
          </w:tcPr>
          <w:p>
            <w:pPr>
              <w:spacing w:after="0"/>
              <w:rPr>
                <w:sz w:val="19"/>
                <w:szCs w:val="19"/>
                <w:color w:val="auto"/>
              </w:rPr>
            </w:pPr>
          </w:p>
        </w:tc>
      </w:tr>
      <w:tr>
        <w:trPr>
          <w:trHeight w:val="236"/>
        </w:trPr>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34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Notes to Unaudited Condensed Consolidated Financial Statements</w:t>
              </w:r>
            </w:hyperlink>
          </w:p>
        </w:tc>
        <w:tc>
          <w:tcPr>
            <w:tcW w:w="1720" w:type="dxa"/>
            <w:vAlign w:val="bottom"/>
            <w:gridSpan w:val="2"/>
          </w:tcPr>
          <w:p>
            <w:pPr>
              <w:spacing w:after="0"/>
              <w:rPr>
                <w:sz w:val="19"/>
                <w:szCs w:val="19"/>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6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Management’s Discussion and Analysis of Financial Condition and Results of Operations</w:t>
              </w:r>
            </w:hyperlink>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r>
      <w:tr>
        <w:trPr>
          <w:trHeight w:val="209"/>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2360" w:type="dxa"/>
            <w:vAlign w:val="bottom"/>
            <w:gridSpan w:val="5"/>
          </w:tcPr>
          <w:p>
            <w:pPr>
              <w:spacing w:after="0"/>
              <w:rPr>
                <w:sz w:val="18"/>
                <w:szCs w:val="18"/>
                <w:color w:val="auto"/>
              </w:rPr>
            </w:pPr>
          </w:p>
        </w:tc>
      </w:tr>
      <w:tr>
        <w:trPr>
          <w:trHeight w:val="23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OTHER INFORMATION</w:t>
              </w:r>
            </w:hyperlink>
          </w:p>
        </w:tc>
        <w:tc>
          <w:tcPr>
            <w:tcW w:w="60" w:type="dxa"/>
            <w:vAlign w:val="bottom"/>
            <w:tcBorders>
              <w:top w:val="single" w:sz="8" w:color="0000EE"/>
            </w:tcBorders>
          </w:tcPr>
          <w:p>
            <w:pPr>
              <w:spacing w:after="0"/>
              <w:rPr>
                <w:sz w:val="20"/>
                <w:szCs w:val="20"/>
                <w:color w:val="auto"/>
              </w:rPr>
            </w:pPr>
          </w:p>
        </w:tc>
        <w:tc>
          <w:tcPr>
            <w:tcW w:w="5080" w:type="dxa"/>
            <w:vAlign w:val="bottom"/>
            <w:gridSpan w:val="12"/>
          </w:tcPr>
          <w:p>
            <w:pPr>
              <w:spacing w:after="0"/>
              <w:rPr>
                <w:sz w:val="20"/>
                <w:szCs w:val="20"/>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06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19"/>
                <w:szCs w:val="19"/>
                <w:color w:val="auto"/>
              </w:rPr>
            </w:pPr>
          </w:p>
        </w:tc>
        <w:tc>
          <w:tcPr>
            <w:tcW w:w="5580" w:type="dxa"/>
            <w:vAlign w:val="bottom"/>
            <w:gridSpan w:val="14"/>
          </w:tcPr>
          <w:p>
            <w:pPr>
              <w:spacing w:after="0"/>
              <w:rPr>
                <w:sz w:val="19"/>
                <w:szCs w:val="19"/>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60" w:type="dxa"/>
            <w:vAlign w:val="bottom"/>
            <w:gridSpan w:val="1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Unregistered Sales of Equity Securities and Use of Proceeds</w:t>
              </w:r>
            </w:hyperlink>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EE"/>
            </w:tcBorders>
            <w:gridSpan w:val="14"/>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Defaults Upon Senior Securities</w:t>
              </w:r>
            </w:hyperlink>
          </w:p>
        </w:tc>
        <w:tc>
          <w:tcPr>
            <w:tcW w:w="2220" w:type="dxa"/>
            <w:vAlign w:val="bottom"/>
            <w:gridSpan w:val="4"/>
          </w:tcPr>
          <w:p>
            <w:pPr>
              <w:spacing w:after="0"/>
              <w:rPr>
                <w:sz w:val="19"/>
                <w:szCs w:val="19"/>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tcBorders>
            <w:gridSpan w:val="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Mine Safety Disclosures</w:t>
              </w:r>
            </w:hyperlink>
          </w:p>
        </w:tc>
        <w:tc>
          <w:tcPr>
            <w:tcW w:w="4520" w:type="dxa"/>
            <w:vAlign w:val="bottom"/>
            <w:gridSpan w:val="10"/>
          </w:tcPr>
          <w:p>
            <w:pPr>
              <w:spacing w:after="0"/>
              <w:rPr>
                <w:sz w:val="19"/>
                <w:szCs w:val="19"/>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84">
              <w:r>
                <w:rPr>
                  <w:rFonts w:ascii="Arial" w:cs="Arial" w:eastAsia="Arial" w:hAnsi="Arial"/>
                  <w:sz w:val="18"/>
                  <w:szCs w:val="18"/>
                  <w:color w:val="0000EE"/>
                  <w:w w:val="98"/>
                </w:rPr>
                <w:t>Other Information</w:t>
              </w:r>
            </w:hyperlink>
          </w:p>
        </w:tc>
        <w:tc>
          <w:tcPr>
            <w:tcW w:w="520" w:type="dxa"/>
            <w:vAlign w:val="bottom"/>
            <w:tcBorders>
              <w:top w:val="single" w:sz="8" w:color="0000EE"/>
            </w:tcBorders>
            <w:gridSpan w:val="2"/>
          </w:tcPr>
          <w:p>
            <w:pPr>
              <w:spacing w:after="0"/>
              <w:rPr>
                <w:sz w:val="19"/>
                <w:szCs w:val="19"/>
                <w:color w:val="auto"/>
              </w:rPr>
            </w:pPr>
          </w:p>
        </w:tc>
        <w:tc>
          <w:tcPr>
            <w:tcW w:w="5140" w:type="dxa"/>
            <w:vAlign w:val="bottom"/>
            <w:gridSpan w:val="13"/>
          </w:tcPr>
          <w:p>
            <w:pPr>
              <w:spacing w:after="0"/>
              <w:rPr>
                <w:sz w:val="19"/>
                <w:szCs w:val="19"/>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7060" w:type="dxa"/>
            <w:vAlign w:val="bottom"/>
            <w:gridSpan w:val="1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Exhibits</w:t>
              </w:r>
            </w:hyperlink>
          </w:p>
        </w:tc>
      </w:tr>
      <w:tr>
        <w:trPr>
          <w:trHeight w:val="223"/>
        </w:trPr>
        <w:tc>
          <w:tcPr>
            <w:tcW w:w="1240" w:type="dxa"/>
            <w:vAlign w:val="bottom"/>
            <w:gridSpan w:val="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8890</wp:posOffset>
            </wp:positionV>
            <wp:extent cx="574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2</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3</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ectPr>
          <w:pgSz w:w="11900" w:h="16838" w:orient="portrait"/>
          <w:cols w:equalWidth="0" w:num="2">
            <w:col w:w="10060" w:space="720"/>
            <w:col w:w="620"/>
          </w:cols>
          <w:pgMar w:left="240" w:top="118"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8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09"/>
        </w:trPr>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265,072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56,923</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97,116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149,710</w:t>
            </w: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 from collaboration</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120" w:type="dxa"/>
            <w:vAlign w:val="bottom"/>
            <w:tcBorders>
              <w:bottom w:val="single" w:sz="8" w:color="CFF0FC"/>
            </w:tcBorders>
          </w:tcPr>
          <w:p>
            <w:pPr>
              <w:spacing w:after="0"/>
              <w:rPr>
                <w:sz w:val="18"/>
                <w:szCs w:val="18"/>
                <w:color w:val="auto"/>
              </w:rPr>
            </w:pPr>
          </w:p>
        </w:tc>
      </w:tr>
      <w:tr>
        <w:trPr>
          <w:trHeight w:val="209"/>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368,344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214,557</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23,893</w:t>
            </w: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Deferred IPO costs</w:t>
            </w:r>
          </w:p>
        </w:tc>
        <w:tc>
          <w:tcPr>
            <w:tcW w:w="2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3,938</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CFF0FC"/>
          </w:tcPr>
          <w:p>
            <w:pPr>
              <w:spacing w:after="0"/>
              <w:rPr>
                <w:sz w:val="18"/>
                <w:szCs w:val="18"/>
                <w:color w:val="auto"/>
              </w:rPr>
            </w:pPr>
          </w:p>
        </w:tc>
      </w:tr>
      <w:tr>
        <w:trPr>
          <w:trHeight w:val="249"/>
        </w:trPr>
        <w:tc>
          <w:tcPr>
            <w:tcW w:w="7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396,703</w:t>
            </w:r>
          </w:p>
        </w:tc>
        <w:tc>
          <w:tcPr>
            <w:tcW w:w="2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246,085</w:t>
            </w:r>
          </w:p>
        </w:tc>
        <w:tc>
          <w:tcPr>
            <w:tcW w:w="120" w:type="dxa"/>
            <w:vAlign w:val="bottom"/>
            <w:tcBorders>
              <w:bottom w:val="single" w:sz="8" w:color="CFF0FC"/>
            </w:tcBorders>
          </w:tcPr>
          <w:p>
            <w:pPr>
              <w:spacing w:after="0"/>
              <w:rPr>
                <w:sz w:val="21"/>
                <w:szCs w:val="21"/>
                <w:color w:val="auto"/>
              </w:rPr>
            </w:pPr>
          </w:p>
        </w:tc>
      </w:tr>
      <w:tr>
        <w:trPr>
          <w:trHeight w:val="196"/>
        </w:trPr>
        <w:tc>
          <w:tcPr>
            <w:tcW w:w="78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5,775</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15,292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14,003</w:t>
            </w: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current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 current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17,441</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19,025</w:t>
            </w:r>
          </w:p>
        </w:tc>
        <w:tc>
          <w:tcPr>
            <w:tcW w:w="120" w:type="dxa"/>
            <w:vAlign w:val="bottom"/>
            <w:tcBorders>
              <w:bottom w:val="single" w:sz="8" w:color="CFF0FC"/>
            </w:tcBorders>
          </w:tcPr>
          <w:p>
            <w:pPr>
              <w:spacing w:after="0"/>
              <w:rPr>
                <w:sz w:val="18"/>
                <w:szCs w:val="18"/>
                <w:color w:val="auto"/>
              </w:rPr>
            </w:pPr>
          </w:p>
        </w:tc>
      </w:tr>
      <w:tr>
        <w:trPr>
          <w:trHeight w:val="209"/>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41,486</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Deferred rent, non-current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10,843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12,221</w:t>
            </w: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non-current</w:t>
            </w: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Early exercise stock option liability</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 liability</w:t>
            </w: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8"/>
                <w:szCs w:val="18"/>
                <w:color w:val="auto"/>
              </w:rPr>
            </w:pPr>
          </w:p>
        </w:tc>
      </w:tr>
      <w:tr>
        <w:trPr>
          <w:trHeight w:val="209"/>
        </w:trPr>
        <w:tc>
          <w:tcPr>
            <w:tcW w:w="7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50,573</w:t>
            </w:r>
          </w:p>
        </w:tc>
        <w:tc>
          <w:tcPr>
            <w:tcW w:w="2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59,406</w:t>
            </w:r>
          </w:p>
        </w:tc>
        <w:tc>
          <w:tcPr>
            <w:tcW w:w="120" w:type="dxa"/>
            <w:vAlign w:val="bottom"/>
            <w:tcBorders>
              <w:bottom w:val="single" w:sz="8" w:color="CFF0FC"/>
            </w:tcBorders>
          </w:tcPr>
          <w:p>
            <w:pPr>
              <w:spacing w:after="0"/>
              <w:rPr>
                <w:sz w:val="18"/>
                <w:szCs w:val="18"/>
                <w:color w:val="auto"/>
              </w:rPr>
            </w:pPr>
          </w:p>
        </w:tc>
      </w:tr>
      <w:tr>
        <w:trPr>
          <w:trHeight w:val="209"/>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Convertible preferred stock, $0.001 par value;</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96,268,206 shares authorized as of June 30, 2019 and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December 31, 2018; zero and 47,267,466 shares issued and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outstanding as of June 30, 2019 and December 31, 2018, respectively;</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aggregate liquidation preference of $0 and $277,774 at</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40" w:type="dxa"/>
            <w:vAlign w:val="bottom"/>
          </w:tcPr>
          <w:p>
            <w:pPr>
              <w:ind w:left="160"/>
              <w:spacing w:after="0" w:line="203" w:lineRule="exact"/>
              <w:rPr>
                <w:sz w:val="20"/>
                <w:szCs w:val="20"/>
                <w:color w:val="auto"/>
              </w:rPr>
            </w:pPr>
            <w:r>
              <w:rPr>
                <w:rFonts w:ascii="Arial" w:cs="Arial" w:eastAsia="Arial" w:hAnsi="Arial"/>
                <w:sz w:val="18"/>
                <w:szCs w:val="18"/>
                <w:color w:val="auto"/>
              </w:rPr>
              <w:t>June 30, 2019 and December 31, 2018, respectively</w:t>
            </w:r>
          </w:p>
        </w:tc>
        <w:tc>
          <w:tcPr>
            <w:tcW w:w="260" w:type="dxa"/>
            <w:vAlign w:val="bottom"/>
          </w:tcPr>
          <w:p>
            <w:pPr>
              <w:spacing w:after="0"/>
              <w:rPr>
                <w:sz w:val="17"/>
                <w:szCs w:val="17"/>
                <w:color w:val="auto"/>
              </w:rPr>
            </w:pPr>
          </w:p>
        </w:tc>
        <w:tc>
          <w:tcPr>
            <w:tcW w:w="16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294,874</w:t>
            </w:r>
          </w:p>
        </w:tc>
        <w:tc>
          <w:tcPr>
            <w:tcW w:w="120" w:type="dxa"/>
            <w:vAlign w:val="bottom"/>
          </w:tcPr>
          <w:p>
            <w:pPr>
              <w:spacing w:after="0"/>
              <w:rPr>
                <w:sz w:val="17"/>
                <w:szCs w:val="17"/>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Common stock, $0.001 par value; 129,000,000 shares authorized as of</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June 30, 2019 and December 31, 2018; 66,039,310 and 6,937,890</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shares issued and outstanding as of June 30, 2019 and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40" w:type="dxa"/>
            <w:vAlign w:val="bottom"/>
          </w:tcPr>
          <w:p>
            <w:pPr>
              <w:ind w:left="160"/>
              <w:spacing w:after="0" w:line="203" w:lineRule="exact"/>
              <w:rPr>
                <w:sz w:val="20"/>
                <w:szCs w:val="20"/>
                <w:color w:val="auto"/>
              </w:rPr>
            </w:pPr>
            <w:r>
              <w:rPr>
                <w:rFonts w:ascii="Arial" w:cs="Arial" w:eastAsia="Arial" w:hAnsi="Arial"/>
                <w:sz w:val="18"/>
                <w:szCs w:val="18"/>
                <w:color w:val="auto"/>
              </w:rPr>
              <w:t>December 31, 2018, respectively</w:t>
            </w:r>
          </w:p>
        </w:tc>
        <w:tc>
          <w:tcPr>
            <w:tcW w:w="2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66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515,248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39,258</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ind w:left="260"/>
              <w:spacing w:after="0"/>
              <w:rPr>
                <w:sz w:val="20"/>
                <w:szCs w:val="20"/>
                <w:color w:val="auto"/>
              </w:rPr>
            </w:pPr>
            <w:r>
              <w:rPr>
                <w:rFonts w:ascii="Arial" w:cs="Arial" w:eastAsia="Arial" w:hAnsi="Arial"/>
                <w:sz w:val="18"/>
                <w:szCs w:val="18"/>
                <w:color w:val="auto"/>
              </w:rPr>
              <w:t>Accumulated other comprehensive gain (loss)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(169,286)</w:t>
            </w: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(147,193)</w:t>
            </w:r>
          </w:p>
        </w:tc>
      </w:tr>
      <w:tr>
        <w:trPr>
          <w:trHeight w:val="20"/>
        </w:trPr>
        <w:tc>
          <w:tcPr>
            <w:tcW w:w="7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840" w:type="dxa"/>
            <w:vAlign w:val="bottom"/>
          </w:tcPr>
          <w:p>
            <w:pPr>
              <w:ind w:left="500"/>
              <w:spacing w:after="0"/>
              <w:rPr>
                <w:sz w:val="20"/>
                <w:szCs w:val="20"/>
                <w:color w:val="auto"/>
              </w:rPr>
            </w:pPr>
            <w:r>
              <w:rPr>
                <w:rFonts w:ascii="Arial" w:cs="Arial" w:eastAsia="Arial" w:hAnsi="Arial"/>
                <w:sz w:val="18"/>
                <w:szCs w:val="18"/>
                <w:color w:val="auto"/>
              </w:rPr>
              <w:t>Total equity (deficit)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346,130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(108,195)</w:t>
            </w:r>
          </w:p>
        </w:tc>
      </w:tr>
      <w:tr>
        <w:trPr>
          <w:trHeight w:val="209"/>
        </w:trPr>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396,703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246,085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condensed consolidated balance sheet as of December 31, 2018 has been derived from the audited financial statements as of that date.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Related party revenue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Research and development</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General and administrative</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Total operating expenses</w:t>
      </w:r>
    </w:p>
    <w:p>
      <w:pPr>
        <w:spacing w:after="0" w:line="36" w:lineRule="exact"/>
        <w:rPr>
          <w:sz w:val="20"/>
          <w:szCs w:val="20"/>
          <w:color w:val="auto"/>
        </w:rPr>
      </w:pPr>
    </w:p>
    <w:p>
      <w:pPr>
        <w:ind w:right="820"/>
        <w:spacing w:after="0" w:line="281" w:lineRule="auto"/>
        <w:rPr>
          <w:sz w:val="20"/>
          <w:szCs w:val="20"/>
          <w:color w:val="auto"/>
        </w:rPr>
      </w:pPr>
      <w:r>
        <w:rPr>
          <w:rFonts w:ascii="Arial" w:cs="Arial" w:eastAsia="Arial" w:hAnsi="Arial"/>
          <w:sz w:val="17"/>
          <w:szCs w:val="17"/>
          <w:color w:val="auto"/>
        </w:rPr>
        <w:t>Loss from operations Interest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w:t>
      </w:r>
    </w:p>
    <w:p>
      <w:pPr>
        <w:spacing w:after="0" w:line="20" w:lineRule="exact"/>
        <w:rPr>
          <w:sz w:val="20"/>
          <w:szCs w:val="20"/>
          <w:color w:val="auto"/>
        </w:rPr>
      </w:pPr>
      <w:r>
        <w:rPr>
          <w:sz w:val="20"/>
          <w:szCs w:val="20"/>
          <w:color w:val="auto"/>
        </w:rPr>
        <w:br w:type="column"/>
      </w:r>
    </w:p>
    <w:p>
      <w:pPr>
        <w:jc w:val="center"/>
        <w:ind w:right="3020"/>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302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 w:lineRule="exact"/>
        <w:rPr>
          <w:sz w:val="20"/>
          <w:szCs w:val="20"/>
          <w:color w:val="auto"/>
        </w:rPr>
      </w:pPr>
    </w:p>
    <w:p>
      <w:pPr>
        <w:jc w:val="center"/>
        <w:ind w:right="3020"/>
        <w:spacing w:after="0"/>
        <w:rPr>
          <w:sz w:val="20"/>
          <w:szCs w:val="20"/>
          <w:color w:val="auto"/>
        </w:rPr>
      </w:pPr>
      <w:r>
        <w:rPr>
          <w:rFonts w:ascii="Arial" w:cs="Arial" w:eastAsia="Arial" w:hAnsi="Arial"/>
          <w:sz w:val="18"/>
          <w:szCs w:val="18"/>
          <w:b w:val="1"/>
          <w:bCs w:val="1"/>
          <w:color w:val="auto"/>
        </w:rPr>
        <w:t>(Unaudited)</w:t>
      </w:r>
    </w:p>
    <w:p>
      <w:pPr>
        <w:jc w:val="center"/>
        <w:ind w:right="30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5" w:lineRule="exact"/>
        <w:rPr>
          <w:sz w:val="20"/>
          <w:szCs w:val="20"/>
          <w:color w:val="auto"/>
        </w:rPr>
      </w:pPr>
    </w:p>
    <w:tbl>
      <w:tblPr>
        <w:tblLayout w:type="fixed"/>
        <w:tblInd w:w="318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9"/>
              </w:rPr>
              <w:t>Six Months Ended</w:t>
            </w:r>
          </w:p>
        </w:tc>
      </w:tr>
      <w:tr>
        <w:trPr>
          <w:trHeight w:val="225"/>
        </w:trPr>
        <w:tc>
          <w:tcPr>
            <w:tcW w:w="288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19"/>
                <w:szCs w:val="19"/>
                <w:color w:val="auto"/>
              </w:rPr>
            </w:pPr>
          </w:p>
        </w:tc>
        <w:tc>
          <w:tcPr>
            <w:tcW w:w="130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9"/>
              </w:rPr>
              <w:t>June 30,</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r>
      <w:tr>
        <w:trPr>
          <w:trHeight w:val="223"/>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25,341</w:t>
            </w:r>
          </w:p>
        </w:tc>
        <w:tc>
          <w:tcPr>
            <w:tcW w:w="16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22,118</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50,893</w:t>
            </w:r>
          </w:p>
        </w:tc>
        <w:tc>
          <w:tcPr>
            <w:tcW w:w="12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40,731</w:t>
            </w:r>
          </w:p>
        </w:tc>
        <w:tc>
          <w:tcPr>
            <w:tcW w:w="60" w:type="dxa"/>
            <w:vAlign w:val="bottom"/>
          </w:tcPr>
          <w:p>
            <w:pPr>
              <w:spacing w:after="0"/>
              <w:rPr>
                <w:sz w:val="19"/>
                <w:szCs w:val="19"/>
                <w:color w:val="auto"/>
              </w:rPr>
            </w:pPr>
          </w:p>
        </w:tc>
      </w:tr>
      <w:tr>
        <w:trPr>
          <w:trHeight w:val="466"/>
        </w:trPr>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28,819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22,846</w:t>
            </w: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42,300</w:t>
            </w:r>
          </w:p>
        </w:tc>
        <w:tc>
          <w:tcPr>
            <w:tcW w:w="60" w:type="dxa"/>
            <w:vAlign w:val="bottom"/>
          </w:tcPr>
          <w:p>
            <w:pPr>
              <w:spacing w:after="0"/>
              <w:rPr>
                <w:sz w:val="24"/>
                <w:szCs w:val="24"/>
                <w:color w:val="auto"/>
              </w:rPr>
            </w:pPr>
          </w:p>
        </w:tc>
      </w:tr>
      <w:tr>
        <w:trPr>
          <w:trHeight w:val="216"/>
        </w:trPr>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7,332</w:t>
            </w:r>
          </w:p>
        </w:tc>
        <w:tc>
          <w:tcPr>
            <w:tcW w:w="60" w:type="dxa"/>
            <w:vAlign w:val="bottom"/>
          </w:tcPr>
          <w:p>
            <w:pPr>
              <w:spacing w:after="0"/>
              <w:rPr>
                <w:sz w:val="18"/>
                <w:szCs w:val="18"/>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49,632</w:t>
            </w:r>
          </w:p>
        </w:tc>
        <w:tc>
          <w:tcPr>
            <w:tcW w:w="60" w:type="dxa"/>
            <w:vAlign w:val="bottom"/>
          </w:tcPr>
          <w:p>
            <w:pPr>
              <w:spacing w:after="0"/>
              <w:rPr>
                <w:sz w:val="19"/>
                <w:szCs w:val="19"/>
                <w:color w:val="auto"/>
              </w:rPr>
            </w:pPr>
          </w:p>
        </w:tc>
      </w:tr>
      <w:tr>
        <w:trPr>
          <w:trHeight w:val="236"/>
        </w:trPr>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(9,707)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(4,186)</w:t>
            </w: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(19,049)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(8,901)</w:t>
            </w:r>
          </w:p>
        </w:tc>
      </w:tr>
      <w:tr>
        <w:trPr>
          <w:trHeight w:val="229"/>
        </w:trPr>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1,643</w:t>
            </w:r>
          </w:p>
        </w:tc>
        <w:tc>
          <w:tcPr>
            <w:tcW w:w="60" w:type="dxa"/>
            <w:vAlign w:val="bottom"/>
          </w:tcPr>
          <w:p>
            <w:pPr>
              <w:spacing w:after="0"/>
              <w:rPr>
                <w:sz w:val="19"/>
                <w:szCs w:val="19"/>
                <w:color w:val="auto"/>
              </w:rPr>
            </w:pPr>
          </w:p>
        </w:tc>
      </w:tr>
      <w:tr>
        <w:trPr>
          <w:trHeight w:val="214"/>
        </w:trPr>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-1197610</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-889000</wp:posOffset>
            </wp:positionV>
            <wp:extent cx="72466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-597535</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-289560</wp:posOffset>
            </wp:positionV>
            <wp:extent cx="72466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500" w:space="520"/>
            <w:col w:w="8400"/>
          </w:cols>
          <w:pgMar w:left="240" w:top="118"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5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00" w:type="dxa"/>
            <w:vAlign w:val="bottom"/>
            <w:vMerge w:val="continue"/>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line="191"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line="191" w:lineRule="exact"/>
              <w:rPr>
                <w:sz w:val="20"/>
                <w:szCs w:val="20"/>
                <w:color w:val="auto"/>
              </w:rPr>
            </w:pPr>
            <w:r>
              <w:rPr>
                <w:rFonts w:ascii="Arial" w:cs="Arial" w:eastAsia="Arial" w:hAnsi="Arial"/>
                <w:sz w:val="18"/>
                <w:szCs w:val="18"/>
                <w:color w:val="auto"/>
              </w:rPr>
              <w:t>(7,669)</w:t>
            </w:r>
          </w:p>
        </w:tc>
        <w:tc>
          <w:tcPr>
            <w:tcW w:w="320" w:type="dxa"/>
            <w:vAlign w:val="bottom"/>
            <w:gridSpan w:val="2"/>
            <w:shd w:val="clear" w:color="auto" w:fill="CFF0FC"/>
          </w:tcPr>
          <w:p>
            <w:pPr>
              <w:jc w:val="right"/>
              <w:ind w:right="140"/>
              <w:spacing w:after="0" w:line="191"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line="191" w:lineRule="exact"/>
              <w:rPr>
                <w:sz w:val="20"/>
                <w:szCs w:val="20"/>
                <w:color w:val="auto"/>
              </w:rPr>
            </w:pPr>
            <w:r>
              <w:rPr>
                <w:rFonts w:ascii="Arial" w:cs="Arial" w:eastAsia="Arial" w:hAnsi="Arial"/>
                <w:sz w:val="18"/>
                <w:szCs w:val="18"/>
                <w:color w:val="auto"/>
              </w:rPr>
              <w:t>(3,200)</w:t>
            </w:r>
          </w:p>
        </w:tc>
        <w:tc>
          <w:tcPr>
            <w:tcW w:w="120" w:type="dxa"/>
            <w:vAlign w:val="bottom"/>
            <w:shd w:val="clear" w:color="auto" w:fill="CFF0FC"/>
          </w:tcPr>
          <w:p>
            <w:pPr>
              <w:jc w:val="right"/>
              <w:spacing w:after="0" w:line="191"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line="191" w:lineRule="exact"/>
              <w:rPr>
                <w:sz w:val="20"/>
                <w:szCs w:val="20"/>
                <w:color w:val="auto"/>
              </w:rPr>
            </w:pPr>
            <w:r>
              <w:rPr>
                <w:rFonts w:ascii="Arial" w:cs="Arial" w:eastAsia="Arial" w:hAnsi="Arial"/>
                <w:sz w:val="18"/>
                <w:szCs w:val="18"/>
                <w:color w:val="auto"/>
              </w:rPr>
              <w:t>(15,937)</w:t>
            </w:r>
          </w:p>
        </w:tc>
        <w:tc>
          <w:tcPr>
            <w:tcW w:w="200" w:type="dxa"/>
            <w:vAlign w:val="bottom"/>
            <w:gridSpan w:val="2"/>
            <w:shd w:val="clear" w:color="auto" w:fill="CFF0FC"/>
          </w:tcPr>
          <w:p>
            <w:pPr>
              <w:jc w:val="right"/>
              <w:ind w:right="20"/>
              <w:spacing w:after="0" w:line="19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line="191" w:lineRule="exact"/>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9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vMerge w:val="continue"/>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5"/>
        </w:trPr>
        <w:tc>
          <w:tcPr>
            <w:tcW w:w="53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 net loss per</w:t>
            </w:r>
          </w:p>
        </w:tc>
        <w:tc>
          <w:tcPr>
            <w:tcW w:w="9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common share, basic and diluted</w:t>
            </w:r>
          </w:p>
        </w:tc>
        <w:tc>
          <w:tcPr>
            <w:tcW w:w="9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61,044,450</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6,200,143</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34,078,099</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6,163,425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5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0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(7,669)</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(3,200)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(15,937)</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Other comprehensive gain (loss), net of tax:</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 marketable</w:t>
            </w: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securities</w:t>
            </w: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147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369</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500"/>
              <w:spacing w:after="0"/>
              <w:rPr>
                <w:sz w:val="20"/>
                <w:szCs w:val="20"/>
                <w:color w:val="auto"/>
              </w:rPr>
            </w:pPr>
            <w:r>
              <w:rPr>
                <w:rFonts w:ascii="Arial" w:cs="Arial" w:eastAsia="Arial" w:hAnsi="Arial"/>
                <w:sz w:val="18"/>
                <w:szCs w:val="18"/>
                <w:color w:val="auto"/>
              </w:rPr>
              <w:t>Total comprehensive loss</w:t>
            </w: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(7,522)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(3,044)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(15,568)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(7,208)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CONVERTIBLE PREFERRED STOCK AND STOCKHOLDERS’ EQUITY (DEFICIT)</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20" w:type="dxa"/>
            <w:vAlign w:val="bottom"/>
          </w:tcPr>
          <w:p>
            <w:pPr>
              <w:spacing w:after="0"/>
              <w:rPr>
                <w:sz w:val="14"/>
                <w:szCs w:val="14"/>
                <w:color w:val="auto"/>
              </w:rPr>
            </w:pPr>
          </w:p>
        </w:tc>
        <w:tc>
          <w:tcPr>
            <w:tcW w:w="1840" w:type="dxa"/>
            <w:vAlign w:val="bottom"/>
            <w:tcBorders>
              <w:right w:val="single" w:sz="8" w:color="auto"/>
            </w:tcBorders>
            <w:gridSpan w:val="5"/>
          </w:tcPr>
          <w:p>
            <w:pPr>
              <w:jc w:val="right"/>
              <w:ind w:right="620"/>
              <w:spacing w:after="0"/>
              <w:rPr>
                <w:sz w:val="20"/>
                <w:szCs w:val="20"/>
                <w:color w:val="auto"/>
              </w:rPr>
            </w:pPr>
            <w:r>
              <w:rPr>
                <w:rFonts w:ascii="Arial" w:cs="Arial" w:eastAsia="Arial" w:hAnsi="Arial"/>
                <w:sz w:val="15"/>
                <w:szCs w:val="15"/>
                <w:b w:val="1"/>
                <w:bCs w:val="1"/>
                <w:color w:val="auto"/>
              </w:rPr>
              <w:t>Convertible</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5"/>
                <w:szCs w:val="15"/>
                <w:b w:val="1"/>
                <w:bCs w:val="1"/>
                <w:color w:val="auto"/>
              </w:rPr>
              <w:t>Additional</w:t>
            </w:r>
          </w:p>
        </w:tc>
        <w:tc>
          <w:tcPr>
            <w:tcW w:w="10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Total</w:t>
            </w:r>
          </w:p>
        </w:tc>
      </w:tr>
      <w:tr>
        <w:trPr>
          <w:trHeight w:val="183"/>
        </w:trPr>
        <w:tc>
          <w:tcPr>
            <w:tcW w:w="3120" w:type="dxa"/>
            <w:vAlign w:val="bottom"/>
          </w:tcPr>
          <w:p>
            <w:pPr>
              <w:spacing w:after="0"/>
              <w:rPr>
                <w:sz w:val="15"/>
                <w:szCs w:val="15"/>
                <w:color w:val="auto"/>
              </w:rPr>
            </w:pPr>
          </w:p>
        </w:tc>
        <w:tc>
          <w:tcPr>
            <w:tcW w:w="1840" w:type="dxa"/>
            <w:vAlign w:val="bottom"/>
            <w:tcBorders>
              <w:right w:val="single" w:sz="8" w:color="auto"/>
            </w:tcBorders>
            <w:gridSpan w:val="5"/>
          </w:tcPr>
          <w:p>
            <w:pPr>
              <w:jc w:val="right"/>
              <w:ind w:right="460"/>
              <w:spacing w:after="0"/>
              <w:rPr>
                <w:sz w:val="20"/>
                <w:szCs w:val="20"/>
                <w:color w:val="auto"/>
              </w:rPr>
            </w:pPr>
            <w:r>
              <w:rPr>
                <w:rFonts w:ascii="Arial" w:cs="Arial" w:eastAsia="Arial" w:hAnsi="Arial"/>
                <w:sz w:val="15"/>
                <w:szCs w:val="15"/>
                <w:b w:val="1"/>
                <w:bCs w:val="1"/>
                <w:color w:val="auto"/>
              </w:rPr>
              <w:t>Preferred Stock</w:t>
            </w:r>
          </w:p>
        </w:tc>
        <w:tc>
          <w:tcPr>
            <w:tcW w:w="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5"/>
                <w:szCs w:val="15"/>
                <w:b w:val="1"/>
                <w:bCs w:val="1"/>
                <w:color w:val="auto"/>
              </w:rPr>
              <w:t>Paid-In</w:t>
            </w:r>
          </w:p>
        </w:tc>
        <w:tc>
          <w:tcPr>
            <w:tcW w:w="1260" w:type="dxa"/>
            <w:vAlign w:val="bottom"/>
            <w:gridSpan w:val="3"/>
          </w:tcPr>
          <w:p>
            <w:pPr>
              <w:spacing w:after="0"/>
              <w:rPr>
                <w:sz w:val="20"/>
                <w:szCs w:val="20"/>
                <w:color w:val="auto"/>
              </w:rPr>
            </w:pPr>
            <w:r>
              <w:rPr>
                <w:rFonts w:ascii="Arial" w:cs="Arial" w:eastAsia="Arial" w:hAnsi="Arial"/>
                <w:sz w:val="15"/>
                <w:szCs w:val="15"/>
                <w:b w:val="1"/>
                <w:bCs w:val="1"/>
                <w:color w:val="auto"/>
              </w:rPr>
              <w:t>Comprehensive</w:t>
            </w:r>
          </w:p>
        </w:tc>
        <w:tc>
          <w:tcPr>
            <w:tcW w:w="1180" w:type="dxa"/>
            <w:vAlign w:val="bottom"/>
            <w:gridSpan w:val="4"/>
          </w:tcPr>
          <w:p>
            <w:pPr>
              <w:ind w:left="80"/>
              <w:spacing w:after="0"/>
              <w:rPr>
                <w:sz w:val="20"/>
                <w:szCs w:val="20"/>
                <w:color w:val="auto"/>
              </w:rPr>
            </w:pPr>
            <w:r>
              <w:rPr>
                <w:rFonts w:ascii="Arial" w:cs="Arial" w:eastAsia="Arial" w:hAnsi="Arial"/>
                <w:sz w:val="15"/>
                <w:szCs w:val="15"/>
                <w:b w:val="1"/>
                <w:bCs w:val="1"/>
                <w:color w:val="auto"/>
              </w:rPr>
              <w:t>Accumulated</w:t>
            </w:r>
          </w:p>
        </w:tc>
        <w:tc>
          <w:tcPr>
            <w:tcW w:w="8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5"/>
                <w:szCs w:val="15"/>
                <w:b w:val="1"/>
                <w:bCs w:val="1"/>
                <w:color w:val="auto"/>
              </w:rPr>
              <w:t>Stockholders'</w:t>
            </w:r>
          </w:p>
        </w:tc>
      </w:tr>
      <w:tr>
        <w:trPr>
          <w:trHeight w:val="169"/>
        </w:trPr>
        <w:tc>
          <w:tcPr>
            <w:tcW w:w="3120" w:type="dxa"/>
            <w:vAlign w:val="bottom"/>
          </w:tcPr>
          <w:p>
            <w:pPr>
              <w:spacing w:after="0"/>
              <w:rPr>
                <w:sz w:val="14"/>
                <w:szCs w:val="14"/>
                <w:color w:val="auto"/>
              </w:rPr>
            </w:pPr>
          </w:p>
        </w:tc>
        <w:tc>
          <w:tcPr>
            <w:tcW w:w="700" w:type="dxa"/>
            <w:vAlign w:val="bottom"/>
            <w:tcBorders>
              <w:top w:val="single" w:sz="8" w:color="auto"/>
            </w:tcBorders>
          </w:tcPr>
          <w:p>
            <w:pPr>
              <w:jc w:val="right"/>
              <w:ind w:right="24"/>
              <w:spacing w:after="0" w:line="169" w:lineRule="exact"/>
              <w:rPr>
                <w:sz w:val="20"/>
                <w:szCs w:val="20"/>
                <w:color w:val="auto"/>
              </w:rPr>
            </w:pPr>
            <w:r>
              <w:rPr>
                <w:rFonts w:ascii="Arial" w:cs="Arial" w:eastAsia="Arial" w:hAnsi="Arial"/>
                <w:sz w:val="15"/>
                <w:szCs w:val="15"/>
                <w:b w:val="1"/>
                <w:bCs w:val="1"/>
                <w:color w:val="auto"/>
              </w:rPr>
              <w:t>Shares</w:t>
            </w: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jc w:val="right"/>
              <w:ind w:right="4"/>
              <w:spacing w:after="0" w:line="169" w:lineRule="exact"/>
              <w:rPr>
                <w:sz w:val="20"/>
                <w:szCs w:val="20"/>
                <w:color w:val="auto"/>
              </w:rPr>
            </w:pPr>
            <w:r>
              <w:rPr>
                <w:rFonts w:ascii="Arial" w:cs="Arial" w:eastAsia="Arial" w:hAnsi="Arial"/>
                <w:sz w:val="15"/>
                <w:szCs w:val="15"/>
                <w:b w:val="1"/>
                <w:bCs w:val="1"/>
                <w:color w:val="auto"/>
              </w:rPr>
              <w:t>Amount</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tcPr>
          <w:p>
            <w:pPr>
              <w:jc w:val="right"/>
              <w:ind w:right="24"/>
              <w:spacing w:after="0" w:line="169" w:lineRule="exact"/>
              <w:rPr>
                <w:sz w:val="20"/>
                <w:szCs w:val="20"/>
                <w:color w:val="auto"/>
              </w:rPr>
            </w:pPr>
            <w:r>
              <w:rPr>
                <w:rFonts w:ascii="Arial" w:cs="Arial" w:eastAsia="Arial" w:hAnsi="Arial"/>
                <w:sz w:val="15"/>
                <w:szCs w:val="15"/>
                <w:b w:val="1"/>
                <w:bCs w:val="1"/>
                <w:color w:val="auto"/>
              </w:rPr>
              <w:t>Shares</w:t>
            </w: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69" w:lineRule="exact"/>
              <w:rPr>
                <w:sz w:val="20"/>
                <w:szCs w:val="20"/>
                <w:color w:val="auto"/>
              </w:rPr>
            </w:pPr>
            <w:r>
              <w:rPr>
                <w:rFonts w:ascii="Arial" w:cs="Arial" w:eastAsia="Arial" w:hAnsi="Arial"/>
                <w:sz w:val="15"/>
                <w:szCs w:val="15"/>
                <w:b w:val="1"/>
                <w:bCs w:val="1"/>
                <w:color w:val="auto"/>
              </w:rPr>
              <w:t>Capital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4"/>
              <w:spacing w:after="0" w:line="169" w:lineRule="exact"/>
              <w:rPr>
                <w:sz w:val="20"/>
                <w:szCs w:val="20"/>
                <w:color w:val="auto"/>
              </w:rPr>
            </w:pPr>
            <w:r>
              <w:rPr>
                <w:rFonts w:ascii="Arial" w:cs="Arial" w:eastAsia="Arial" w:hAnsi="Arial"/>
                <w:sz w:val="15"/>
                <w:szCs w:val="15"/>
                <w:b w:val="1"/>
                <w:bCs w:val="1"/>
                <w:color w:val="auto"/>
              </w:rPr>
              <w:t>Gain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84"/>
              <w:spacing w:after="0" w:line="169" w:lineRule="exact"/>
              <w:rPr>
                <w:sz w:val="20"/>
                <w:szCs w:val="20"/>
                <w:color w:val="auto"/>
              </w:rPr>
            </w:pPr>
            <w:r>
              <w:rPr>
                <w:rFonts w:ascii="Arial" w:cs="Arial" w:eastAsia="Arial" w:hAnsi="Arial"/>
                <w:sz w:val="15"/>
                <w:szCs w:val="15"/>
                <w:b w:val="1"/>
                <w:bCs w:val="1"/>
                <w:color w:val="auto"/>
              </w:rPr>
              <w:t>Deficit</w:t>
            </w:r>
          </w:p>
        </w:tc>
        <w:tc>
          <w:tcPr>
            <w:tcW w:w="120" w:type="dxa"/>
            <w:vAlign w:val="bottom"/>
          </w:tcPr>
          <w:p>
            <w:pPr>
              <w:spacing w:after="0"/>
              <w:rPr>
                <w:sz w:val="14"/>
                <w:szCs w:val="14"/>
                <w:color w:val="auto"/>
              </w:rPr>
            </w:pPr>
          </w:p>
        </w:tc>
        <w:tc>
          <w:tcPr>
            <w:tcW w:w="1220" w:type="dxa"/>
            <w:vAlign w:val="bottom"/>
            <w:gridSpan w:val="4"/>
          </w:tcPr>
          <w:p>
            <w:pPr>
              <w:ind w:left="80"/>
              <w:spacing w:after="0" w:line="169" w:lineRule="exact"/>
              <w:rPr>
                <w:sz w:val="20"/>
                <w:szCs w:val="20"/>
                <w:color w:val="auto"/>
              </w:rPr>
            </w:pPr>
            <w:r>
              <w:rPr>
                <w:rFonts w:ascii="Arial" w:cs="Arial" w:eastAsia="Arial" w:hAnsi="Arial"/>
                <w:sz w:val="15"/>
                <w:szCs w:val="15"/>
                <w:b w:val="1"/>
                <w:bCs w:val="1"/>
                <w:color w:val="auto"/>
              </w:rPr>
              <w:t>Equity(Deficit)</w:t>
            </w:r>
          </w:p>
        </w:tc>
      </w:tr>
      <w:tr>
        <w:trPr>
          <w:trHeight w:val="20"/>
        </w:trPr>
        <w:tc>
          <w:tcPr>
            <w:tcW w:w="3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31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December 31, 2018</w:t>
            </w: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47,267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294,874</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6,733</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04"/>
              <w:spacing w:after="0" w:line="169" w:lineRule="exact"/>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39,258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(267)</w:t>
            </w:r>
          </w:p>
        </w:tc>
        <w:tc>
          <w:tcPr>
            <w:tcW w:w="24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(147,193)</w:t>
            </w:r>
          </w:p>
        </w:tc>
        <w:tc>
          <w:tcPr>
            <w:tcW w:w="28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(108,195)</w:t>
            </w:r>
          </w:p>
        </w:tc>
      </w:tr>
      <w:tr>
        <w:trPr>
          <w:trHeight w:val="165"/>
        </w:trPr>
        <w:tc>
          <w:tcPr>
            <w:tcW w:w="3120" w:type="dxa"/>
            <w:vAlign w:val="bottom"/>
          </w:tcPr>
          <w:p>
            <w:pPr>
              <w:ind w:left="260"/>
              <w:spacing w:after="0" w:line="166" w:lineRule="exact"/>
              <w:rPr>
                <w:sz w:val="20"/>
                <w:szCs w:val="20"/>
                <w:color w:val="auto"/>
              </w:rPr>
            </w:pPr>
            <w:r>
              <w:rPr>
                <w:rFonts w:ascii="Arial" w:cs="Arial" w:eastAsia="Arial" w:hAnsi="Arial"/>
                <w:sz w:val="15"/>
                <w:szCs w:val="15"/>
                <w:color w:val="auto"/>
              </w:rPr>
              <w:t>Issuance of common stock to</w:t>
            </w: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120" w:type="dxa"/>
            <w:vAlign w:val="bottom"/>
          </w:tcPr>
          <w:p>
            <w:pPr>
              <w:ind w:left="380"/>
              <w:spacing w:after="0" w:line="165" w:lineRule="exact"/>
              <w:rPr>
                <w:sz w:val="20"/>
                <w:szCs w:val="20"/>
                <w:color w:val="auto"/>
              </w:rPr>
            </w:pPr>
            <w:r>
              <w:rPr>
                <w:rFonts w:ascii="Arial" w:cs="Arial" w:eastAsia="Arial" w:hAnsi="Arial"/>
                <w:sz w:val="15"/>
                <w:szCs w:val="15"/>
                <w:color w:val="auto"/>
              </w:rPr>
              <w:t>participants in 401(k) Plan</w:t>
            </w:r>
          </w:p>
        </w:tc>
        <w:tc>
          <w:tcPr>
            <w:tcW w:w="90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80" w:type="dxa"/>
            <w:vAlign w:val="bottom"/>
          </w:tcPr>
          <w:p>
            <w:pPr>
              <w:jc w:val="right"/>
              <w:spacing w:after="0" w:line="165" w:lineRule="exact"/>
              <w:rPr>
                <w:sz w:val="20"/>
                <w:szCs w:val="20"/>
                <w:color w:val="auto"/>
              </w:rPr>
            </w:pPr>
            <w:r>
              <w:rPr>
                <w:rFonts w:ascii="Arial" w:cs="Arial" w:eastAsia="Arial" w:hAnsi="Arial"/>
                <w:sz w:val="15"/>
                <w:szCs w:val="15"/>
                <w:color w:val="auto"/>
              </w:rPr>
              <w:t>8</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40" w:type="dxa"/>
            <w:vAlign w:val="bottom"/>
          </w:tcPr>
          <w:p>
            <w:pPr>
              <w:jc w:val="right"/>
              <w:spacing w:after="0" w:line="165" w:lineRule="exact"/>
              <w:rPr>
                <w:sz w:val="20"/>
                <w:szCs w:val="20"/>
                <w:color w:val="auto"/>
              </w:rPr>
            </w:pPr>
            <w:r>
              <w:rPr>
                <w:rFonts w:ascii="Arial" w:cs="Arial" w:eastAsia="Arial" w:hAnsi="Arial"/>
                <w:sz w:val="15"/>
                <w:szCs w:val="15"/>
                <w:color w:val="auto"/>
              </w:rPr>
              <w:t>98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5" w:lineRule="exact"/>
              <w:rPr>
                <w:sz w:val="20"/>
                <w:szCs w:val="20"/>
                <w:color w:val="auto"/>
              </w:rPr>
            </w:pPr>
            <w:r>
              <w:rPr>
                <w:rFonts w:ascii="Arial" w:cs="Arial" w:eastAsia="Arial" w:hAnsi="Arial"/>
                <w:sz w:val="15"/>
                <w:szCs w:val="15"/>
                <w:color w:val="auto"/>
              </w:rPr>
              <w:t>98</w:t>
            </w:r>
          </w:p>
        </w:tc>
        <w:tc>
          <w:tcPr>
            <w:tcW w:w="100" w:type="dxa"/>
            <w:vAlign w:val="bottom"/>
          </w:tcPr>
          <w:p>
            <w:pPr>
              <w:spacing w:after="0"/>
              <w:rPr>
                <w:sz w:val="14"/>
                <w:szCs w:val="14"/>
                <w:color w:val="auto"/>
              </w:rPr>
            </w:pPr>
          </w:p>
        </w:tc>
      </w:tr>
      <w:tr>
        <w:trPr>
          <w:trHeight w:val="172"/>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Vesting of common stock from early</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1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exercises</w:t>
            </w:r>
          </w:p>
        </w:tc>
        <w:tc>
          <w:tcPr>
            <w:tcW w:w="90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40" w:type="dxa"/>
            <w:vAlign w:val="bottom"/>
            <w:tcBorders>
              <w:right w:val="single" w:sz="8" w:color="auto"/>
            </w:tcBorders>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34</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237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237</w:t>
            </w:r>
          </w:p>
        </w:tc>
        <w:tc>
          <w:tcPr>
            <w:tcW w:w="100" w:type="dxa"/>
            <w:vAlign w:val="bottom"/>
            <w:shd w:val="clear" w:color="auto" w:fill="CFF0FC"/>
          </w:tcPr>
          <w:p>
            <w:pPr>
              <w:spacing w:after="0"/>
              <w:rPr>
                <w:sz w:val="14"/>
                <w:szCs w:val="14"/>
                <w:color w:val="auto"/>
              </w:rPr>
            </w:pPr>
          </w:p>
        </w:tc>
      </w:tr>
      <w:tr>
        <w:trPr>
          <w:trHeight w:val="172"/>
        </w:trPr>
        <w:tc>
          <w:tcPr>
            <w:tcW w:w="3120" w:type="dxa"/>
            <w:vAlign w:val="bottom"/>
          </w:tcPr>
          <w:p>
            <w:pPr>
              <w:ind w:left="260"/>
              <w:spacing w:after="0"/>
              <w:rPr>
                <w:sz w:val="20"/>
                <w:szCs w:val="20"/>
                <w:color w:val="auto"/>
              </w:rPr>
            </w:pPr>
            <w:r>
              <w:rPr>
                <w:rFonts w:ascii="Arial" w:cs="Arial" w:eastAsia="Arial" w:hAnsi="Arial"/>
                <w:sz w:val="15"/>
                <w:szCs w:val="15"/>
                <w:color w:val="auto"/>
              </w:rPr>
              <w:t>Issuance of common stock upon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120" w:type="dxa"/>
            <w:vAlign w:val="bottom"/>
          </w:tcPr>
          <w:p>
            <w:pPr>
              <w:ind w:left="380"/>
              <w:spacing w:after="0" w:line="166" w:lineRule="exact"/>
              <w:rPr>
                <w:sz w:val="20"/>
                <w:szCs w:val="20"/>
                <w:color w:val="auto"/>
              </w:rPr>
            </w:pPr>
            <w:r>
              <w:rPr>
                <w:rFonts w:ascii="Arial" w:cs="Arial" w:eastAsia="Arial" w:hAnsi="Arial"/>
                <w:sz w:val="15"/>
                <w:szCs w:val="15"/>
                <w:color w:val="auto"/>
              </w:rPr>
              <w:t>exercise of stock options</w:t>
            </w:r>
          </w:p>
        </w:tc>
        <w:tc>
          <w:tcPr>
            <w:tcW w:w="9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80</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5"/>
                <w:szCs w:val="15"/>
                <w:color w:val="auto"/>
              </w:rPr>
              <w:t>279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279</w:t>
            </w:r>
          </w:p>
        </w:tc>
        <w:tc>
          <w:tcPr>
            <w:tcW w:w="100" w:type="dxa"/>
            <w:vAlign w:val="bottom"/>
          </w:tcPr>
          <w:p>
            <w:pPr>
              <w:spacing w:after="0"/>
              <w:rPr>
                <w:sz w:val="14"/>
                <w:szCs w:val="14"/>
                <w:color w:val="auto"/>
              </w:rPr>
            </w:pPr>
          </w:p>
        </w:tc>
      </w:tr>
      <w:tr>
        <w:trPr>
          <w:trHeight w:val="175"/>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Stock-based compensation expense</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2,605</w:t>
            </w:r>
          </w:p>
        </w:tc>
        <w:tc>
          <w:tcPr>
            <w:tcW w:w="100" w:type="dxa"/>
            <w:vAlign w:val="bottom"/>
            <w:shd w:val="clear" w:color="auto" w:fill="CFF0FC"/>
          </w:tcPr>
          <w:p>
            <w:pPr>
              <w:spacing w:after="0"/>
              <w:rPr>
                <w:sz w:val="15"/>
                <w:szCs w:val="15"/>
                <w:color w:val="auto"/>
              </w:rPr>
            </w:pPr>
          </w:p>
        </w:tc>
      </w:tr>
      <w:tr>
        <w:trPr>
          <w:trHeight w:val="172"/>
        </w:trPr>
        <w:tc>
          <w:tcPr>
            <w:tcW w:w="3120" w:type="dxa"/>
            <w:vAlign w:val="bottom"/>
          </w:tcPr>
          <w:p>
            <w:pPr>
              <w:ind w:left="260"/>
              <w:spacing w:after="0"/>
              <w:rPr>
                <w:sz w:val="20"/>
                <w:szCs w:val="20"/>
                <w:color w:val="auto"/>
              </w:rPr>
            </w:pPr>
            <w:r>
              <w:rPr>
                <w:rFonts w:ascii="Arial" w:cs="Arial" w:eastAsia="Arial" w:hAnsi="Arial"/>
                <w:sz w:val="15"/>
                <w:szCs w:val="15"/>
                <w:color w:val="auto"/>
              </w:rPr>
              <w:t>Changes in unrealized gain 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120" w:type="dxa"/>
            <w:vAlign w:val="bottom"/>
          </w:tcPr>
          <w:p>
            <w:pPr>
              <w:ind w:left="380"/>
              <w:spacing w:after="0" w:line="165" w:lineRule="exact"/>
              <w:rPr>
                <w:sz w:val="20"/>
                <w:szCs w:val="20"/>
                <w:color w:val="auto"/>
              </w:rPr>
            </w:pPr>
            <w:r>
              <w:rPr>
                <w:rFonts w:ascii="Arial" w:cs="Arial" w:eastAsia="Arial" w:hAnsi="Arial"/>
                <w:sz w:val="15"/>
                <w:szCs w:val="15"/>
                <w:color w:val="auto"/>
              </w:rPr>
              <w:t>available-for-sale securities</w:t>
            </w:r>
          </w:p>
        </w:tc>
        <w:tc>
          <w:tcPr>
            <w:tcW w:w="90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460" w:type="dxa"/>
            <w:vAlign w:val="bottom"/>
          </w:tcPr>
          <w:p>
            <w:pPr>
              <w:spacing w:after="0"/>
              <w:rPr>
                <w:sz w:val="14"/>
                <w:szCs w:val="14"/>
                <w:color w:val="auto"/>
              </w:rPr>
            </w:pPr>
          </w:p>
        </w:tc>
        <w:tc>
          <w:tcPr>
            <w:tcW w:w="42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Arial" w:cs="Arial" w:eastAsia="Arial" w:hAnsi="Arial"/>
                <w:sz w:val="15"/>
                <w:szCs w:val="15"/>
                <w:color w:val="auto"/>
              </w:rPr>
              <w:t>222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5" w:lineRule="exact"/>
              <w:rPr>
                <w:sz w:val="20"/>
                <w:szCs w:val="20"/>
                <w:color w:val="auto"/>
              </w:rPr>
            </w:pPr>
            <w:r>
              <w:rPr>
                <w:rFonts w:ascii="Arial" w:cs="Arial" w:eastAsia="Arial" w:hAnsi="Arial"/>
                <w:sz w:val="15"/>
                <w:szCs w:val="15"/>
                <w:color w:val="auto"/>
              </w:rPr>
              <w:t>222</w:t>
            </w:r>
          </w:p>
        </w:tc>
        <w:tc>
          <w:tcPr>
            <w:tcW w:w="100" w:type="dxa"/>
            <w:vAlign w:val="bottom"/>
          </w:tcPr>
          <w:p>
            <w:pPr>
              <w:spacing w:after="0"/>
              <w:rPr>
                <w:sz w:val="14"/>
                <w:szCs w:val="14"/>
                <w:color w:val="auto"/>
              </w:rPr>
            </w:pPr>
          </w:p>
        </w:tc>
      </w:tr>
      <w:tr>
        <w:trPr>
          <w:trHeight w:val="172"/>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exercise of preferred stock</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12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warrant to Series A preferred</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1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stock</w:t>
            </w:r>
          </w:p>
        </w:tc>
        <w:tc>
          <w:tcPr>
            <w:tcW w:w="70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198</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4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line="166" w:lineRule="exact"/>
              <w:rPr>
                <w:sz w:val="20"/>
                <w:szCs w:val="20"/>
                <w:color w:val="auto"/>
              </w:rPr>
            </w:pPr>
            <w:r>
              <w:rPr>
                <w:rFonts w:ascii="Arial" w:cs="Arial" w:eastAsia="Arial" w:hAnsi="Arial"/>
                <w:sz w:val="15"/>
                <w:szCs w:val="15"/>
                <w:color w:val="auto"/>
              </w:rPr>
              <w:t>—</w:t>
            </w:r>
          </w:p>
        </w:tc>
      </w:tr>
      <w:tr>
        <w:trPr>
          <w:trHeight w:val="172"/>
        </w:trPr>
        <w:tc>
          <w:tcPr>
            <w:tcW w:w="3120" w:type="dxa"/>
            <w:vAlign w:val="bottom"/>
          </w:tcPr>
          <w:p>
            <w:pPr>
              <w:ind w:left="260"/>
              <w:spacing w:after="0"/>
              <w:rPr>
                <w:sz w:val="20"/>
                <w:szCs w:val="20"/>
                <w:color w:val="auto"/>
              </w:rPr>
            </w:pPr>
            <w:r>
              <w:rPr>
                <w:rFonts w:ascii="Arial" w:cs="Arial" w:eastAsia="Arial" w:hAnsi="Arial"/>
                <w:sz w:val="15"/>
                <w:szCs w:val="15"/>
                <w:color w:val="auto"/>
              </w:rPr>
              <w:t>Cumulative effect adjustment upon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120" w:type="dxa"/>
            <w:vAlign w:val="bottom"/>
          </w:tcPr>
          <w:p>
            <w:pPr>
              <w:ind w:left="380"/>
              <w:spacing w:after="0" w:line="165" w:lineRule="exact"/>
              <w:rPr>
                <w:sz w:val="20"/>
                <w:szCs w:val="20"/>
                <w:color w:val="auto"/>
              </w:rPr>
            </w:pPr>
            <w:r>
              <w:rPr>
                <w:rFonts w:ascii="Arial" w:cs="Arial" w:eastAsia="Arial" w:hAnsi="Arial"/>
                <w:sz w:val="15"/>
                <w:szCs w:val="15"/>
                <w:color w:val="auto"/>
              </w:rPr>
              <w:t>adoption of ASU 2014-09</w:t>
            </w:r>
          </w:p>
        </w:tc>
        <w:tc>
          <w:tcPr>
            <w:tcW w:w="90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460" w:type="dxa"/>
            <w:vAlign w:val="bottom"/>
          </w:tcPr>
          <w:p>
            <w:pPr>
              <w:spacing w:after="0"/>
              <w:rPr>
                <w:sz w:val="14"/>
                <w:szCs w:val="14"/>
                <w:color w:val="auto"/>
              </w:rPr>
            </w:pPr>
          </w:p>
        </w:tc>
        <w:tc>
          <w:tcPr>
            <w:tcW w:w="42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80"/>
              <w:spacing w:after="0" w:line="165" w:lineRule="exact"/>
              <w:rPr>
                <w:sz w:val="20"/>
                <w:szCs w:val="20"/>
                <w:color w:val="auto"/>
              </w:rPr>
            </w:pPr>
            <w:r>
              <w:rPr>
                <w:rFonts w:ascii="Arial" w:cs="Arial" w:eastAsia="Arial" w:hAnsi="Arial"/>
                <w:sz w:val="15"/>
                <w:szCs w:val="15"/>
                <w:color w:val="auto"/>
              </w:rPr>
              <w:t>(6,156)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60"/>
              <w:spacing w:after="0" w:line="165" w:lineRule="exact"/>
              <w:rPr>
                <w:sz w:val="20"/>
                <w:szCs w:val="20"/>
                <w:color w:val="auto"/>
              </w:rPr>
            </w:pPr>
            <w:r>
              <w:rPr>
                <w:rFonts w:ascii="Arial" w:cs="Arial" w:eastAsia="Arial" w:hAnsi="Arial"/>
                <w:sz w:val="15"/>
                <w:szCs w:val="15"/>
                <w:color w:val="auto"/>
              </w:rPr>
              <w:t>(6,156)</w:t>
            </w:r>
          </w:p>
        </w:tc>
      </w:tr>
      <w:tr>
        <w:trPr>
          <w:trHeight w:val="175"/>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loss</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(8,268)</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(8,268)</w:t>
            </w:r>
          </w:p>
        </w:tc>
      </w:tr>
      <w:tr>
        <w:trPr>
          <w:trHeight w:val="20"/>
        </w:trPr>
        <w:tc>
          <w:tcPr>
            <w:tcW w:w="3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120" w:type="dxa"/>
            <w:vAlign w:val="bottom"/>
          </w:tcPr>
          <w:p>
            <w:pPr>
              <w:spacing w:after="0" w:line="169" w:lineRule="exact"/>
              <w:rPr>
                <w:sz w:val="20"/>
                <w:szCs w:val="20"/>
                <w:color w:val="auto"/>
              </w:rPr>
            </w:pPr>
            <w:r>
              <w:rPr>
                <w:rFonts w:ascii="Arial" w:cs="Arial" w:eastAsia="Arial" w:hAnsi="Arial"/>
                <w:sz w:val="15"/>
                <w:szCs w:val="15"/>
                <w:color w:val="auto"/>
              </w:rPr>
              <w:t>Balance at March 31, 2019</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47,283</w:t>
            </w:r>
          </w:p>
        </w:tc>
        <w:tc>
          <w:tcPr>
            <w:tcW w:w="20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295,072</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6,855</w:t>
            </w:r>
          </w:p>
        </w:tc>
        <w:tc>
          <w:tcPr>
            <w:tcW w:w="200" w:type="dxa"/>
            <w:vAlign w:val="bottom"/>
          </w:tcPr>
          <w:p>
            <w:pPr>
              <w:spacing w:after="0"/>
              <w:rPr>
                <w:sz w:val="14"/>
                <w:szCs w:val="14"/>
                <w:color w:val="auto"/>
              </w:rPr>
            </w:pPr>
          </w:p>
        </w:tc>
        <w:tc>
          <w:tcPr>
            <w:tcW w:w="460" w:type="dxa"/>
            <w:vAlign w:val="bottom"/>
          </w:tcPr>
          <w:p>
            <w:pPr>
              <w:jc w:val="right"/>
              <w:ind w:right="304"/>
              <w:spacing w:after="0" w:line="169" w:lineRule="exact"/>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line="169" w:lineRule="exact"/>
              <w:rPr>
                <w:sz w:val="20"/>
                <w:szCs w:val="20"/>
                <w:color w:val="auto"/>
              </w:rPr>
            </w:pPr>
            <w:r>
              <w:rPr>
                <w:rFonts w:ascii="Arial" w:cs="Arial" w:eastAsia="Arial" w:hAnsi="Arial"/>
                <w:sz w:val="15"/>
                <w:szCs w:val="15"/>
                <w:color w:val="auto"/>
              </w:rPr>
              <w:t>7</w:t>
            </w:r>
          </w:p>
        </w:tc>
        <w:tc>
          <w:tcPr>
            <w:tcW w:w="20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42,477</w:t>
            </w:r>
          </w:p>
        </w:tc>
        <w:tc>
          <w:tcPr>
            <w:tcW w:w="22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11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(45)</w:t>
            </w:r>
          </w:p>
        </w:tc>
        <w:tc>
          <w:tcPr>
            <w:tcW w:w="24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(161,617)</w:t>
            </w:r>
          </w:p>
        </w:tc>
        <w:tc>
          <w:tcPr>
            <w:tcW w:w="28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(119,178)</w:t>
            </w:r>
          </w:p>
        </w:tc>
      </w:tr>
      <w:tr>
        <w:trPr>
          <w:trHeight w:val="172"/>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of common stock upon</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12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initial public offering, net of</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1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issuance cost</w:t>
            </w:r>
          </w:p>
        </w:tc>
        <w:tc>
          <w:tcPr>
            <w:tcW w:w="90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40" w:type="dxa"/>
            <w:vAlign w:val="bottom"/>
            <w:tcBorders>
              <w:right w:val="single" w:sz="8" w:color="auto"/>
            </w:tcBorders>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7,521</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8</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107,748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107,756</w:t>
            </w:r>
          </w:p>
        </w:tc>
        <w:tc>
          <w:tcPr>
            <w:tcW w:w="100" w:type="dxa"/>
            <w:vAlign w:val="bottom"/>
            <w:shd w:val="clear" w:color="auto" w:fill="CFF0FC"/>
          </w:tcPr>
          <w:p>
            <w:pPr>
              <w:spacing w:after="0"/>
              <w:rPr>
                <w:sz w:val="14"/>
                <w:szCs w:val="14"/>
                <w:color w:val="auto"/>
              </w:rPr>
            </w:pPr>
          </w:p>
        </w:tc>
      </w:tr>
      <w:tr>
        <w:trPr>
          <w:trHeight w:val="172"/>
        </w:trPr>
        <w:tc>
          <w:tcPr>
            <w:tcW w:w="3120" w:type="dxa"/>
            <w:vAlign w:val="bottom"/>
          </w:tcPr>
          <w:p>
            <w:pPr>
              <w:ind w:left="260"/>
              <w:spacing w:after="0"/>
              <w:rPr>
                <w:sz w:val="20"/>
                <w:szCs w:val="20"/>
                <w:color w:val="auto"/>
              </w:rPr>
            </w:pPr>
            <w:r>
              <w:rPr>
                <w:rFonts w:ascii="Arial" w:cs="Arial" w:eastAsia="Arial" w:hAnsi="Arial"/>
                <w:sz w:val="15"/>
                <w:szCs w:val="15"/>
                <w:color w:val="auto"/>
              </w:rPr>
              <w:t>Issuance of common stock upon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120" w:type="dxa"/>
            <w:vAlign w:val="bottom"/>
          </w:tcPr>
          <w:p>
            <w:pPr>
              <w:ind w:left="380"/>
              <w:spacing w:after="0" w:line="166" w:lineRule="exact"/>
              <w:rPr>
                <w:sz w:val="20"/>
                <w:szCs w:val="20"/>
                <w:color w:val="auto"/>
              </w:rPr>
            </w:pPr>
            <w:r>
              <w:rPr>
                <w:rFonts w:ascii="Arial" w:cs="Arial" w:eastAsia="Arial" w:hAnsi="Arial"/>
                <w:sz w:val="15"/>
                <w:szCs w:val="15"/>
                <w:color w:val="auto"/>
              </w:rPr>
              <w:t>private placement</w:t>
            </w:r>
          </w:p>
        </w:tc>
        <w:tc>
          <w:tcPr>
            <w:tcW w:w="9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4,122</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jc w:val="right"/>
              <w:spacing w:after="0" w:line="166" w:lineRule="exact"/>
              <w:rPr>
                <w:sz w:val="20"/>
                <w:szCs w:val="20"/>
                <w:color w:val="auto"/>
              </w:rPr>
            </w:pPr>
            <w:r>
              <w:rPr>
                <w:rFonts w:ascii="Arial" w:cs="Arial" w:eastAsia="Arial" w:hAnsi="Arial"/>
                <w:sz w:val="15"/>
                <w:szCs w:val="15"/>
                <w:color w:val="auto"/>
              </w:rPr>
              <w:t>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5"/>
                <w:szCs w:val="15"/>
                <w:color w:val="auto"/>
              </w:rPr>
              <w:t>65,943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65,947</w:t>
            </w:r>
          </w:p>
        </w:tc>
        <w:tc>
          <w:tcPr>
            <w:tcW w:w="100" w:type="dxa"/>
            <w:vAlign w:val="bottom"/>
          </w:tcPr>
          <w:p>
            <w:pPr>
              <w:spacing w:after="0"/>
              <w:rPr>
                <w:sz w:val="14"/>
                <w:szCs w:val="14"/>
                <w:color w:val="auto"/>
              </w:rPr>
            </w:pPr>
          </w:p>
        </w:tc>
      </w:tr>
      <w:tr>
        <w:trPr>
          <w:trHeight w:val="172"/>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of common stock upon</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1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exercise of stock options</w:t>
            </w:r>
          </w:p>
        </w:tc>
        <w:tc>
          <w:tcPr>
            <w:tcW w:w="90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40" w:type="dxa"/>
            <w:vAlign w:val="bottom"/>
            <w:tcBorders>
              <w:right w:val="single" w:sz="8" w:color="auto"/>
            </w:tcBorders>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86</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258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258</w:t>
            </w:r>
          </w:p>
        </w:tc>
        <w:tc>
          <w:tcPr>
            <w:tcW w:w="100" w:type="dxa"/>
            <w:vAlign w:val="bottom"/>
            <w:shd w:val="clear" w:color="auto" w:fill="CFF0FC"/>
          </w:tcPr>
          <w:p>
            <w:pPr>
              <w:spacing w:after="0"/>
              <w:rPr>
                <w:sz w:val="14"/>
                <w:szCs w:val="14"/>
                <w:color w:val="auto"/>
              </w:rPr>
            </w:pPr>
          </w:p>
        </w:tc>
      </w:tr>
      <w:tr>
        <w:trPr>
          <w:trHeight w:val="172"/>
        </w:trPr>
        <w:tc>
          <w:tcPr>
            <w:tcW w:w="3120" w:type="dxa"/>
            <w:vAlign w:val="bottom"/>
          </w:tcPr>
          <w:p>
            <w:pPr>
              <w:ind w:left="260"/>
              <w:spacing w:after="0"/>
              <w:rPr>
                <w:sz w:val="20"/>
                <w:szCs w:val="20"/>
                <w:color w:val="auto"/>
              </w:rPr>
            </w:pPr>
            <w:r>
              <w:rPr>
                <w:rFonts w:ascii="Arial" w:cs="Arial" w:eastAsia="Arial" w:hAnsi="Arial"/>
                <w:sz w:val="15"/>
                <w:szCs w:val="15"/>
                <w:color w:val="auto"/>
              </w:rPr>
              <w:t>Vesting of common stock from early</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120" w:type="dxa"/>
            <w:vAlign w:val="bottom"/>
          </w:tcPr>
          <w:p>
            <w:pPr>
              <w:ind w:left="380"/>
              <w:spacing w:after="0" w:line="166" w:lineRule="exact"/>
              <w:rPr>
                <w:sz w:val="20"/>
                <w:szCs w:val="20"/>
                <w:color w:val="auto"/>
              </w:rPr>
            </w:pPr>
            <w:r>
              <w:rPr>
                <w:rFonts w:ascii="Arial" w:cs="Arial" w:eastAsia="Arial" w:hAnsi="Arial"/>
                <w:sz w:val="15"/>
                <w:szCs w:val="15"/>
                <w:color w:val="auto"/>
              </w:rPr>
              <w:t>exercises</w:t>
            </w:r>
          </w:p>
        </w:tc>
        <w:tc>
          <w:tcPr>
            <w:tcW w:w="9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32</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5"/>
                <w:szCs w:val="15"/>
                <w:color w:val="auto"/>
              </w:rPr>
              <w:t>245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245</w:t>
            </w:r>
          </w:p>
        </w:tc>
        <w:tc>
          <w:tcPr>
            <w:tcW w:w="100" w:type="dxa"/>
            <w:vAlign w:val="bottom"/>
          </w:tcPr>
          <w:p>
            <w:pPr>
              <w:spacing w:after="0"/>
              <w:rPr>
                <w:sz w:val="14"/>
                <w:szCs w:val="14"/>
                <w:color w:val="auto"/>
              </w:rPr>
            </w:pPr>
          </w:p>
        </w:tc>
      </w:tr>
      <w:tr>
        <w:trPr>
          <w:trHeight w:val="172"/>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Conversion of Series A, B, C, D, E</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12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convertible preferred stock to</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1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common stock</w:t>
            </w:r>
          </w:p>
        </w:tc>
        <w:tc>
          <w:tcPr>
            <w:tcW w:w="900" w:type="dxa"/>
            <w:vAlign w:val="bottom"/>
            <w:gridSpan w:val="2"/>
            <w:shd w:val="clear" w:color="auto" w:fill="CFF0FC"/>
          </w:tcPr>
          <w:p>
            <w:pPr>
              <w:jc w:val="right"/>
              <w:ind w:right="160"/>
              <w:spacing w:after="0" w:line="166" w:lineRule="exact"/>
              <w:rPr>
                <w:sz w:val="20"/>
                <w:szCs w:val="20"/>
                <w:color w:val="auto"/>
              </w:rPr>
            </w:pPr>
            <w:r>
              <w:rPr>
                <w:rFonts w:ascii="Arial" w:cs="Arial" w:eastAsia="Arial" w:hAnsi="Arial"/>
                <w:sz w:val="15"/>
                <w:szCs w:val="15"/>
                <w:color w:val="auto"/>
              </w:rPr>
              <w:t>(47,283)</w:t>
            </w:r>
          </w:p>
        </w:tc>
        <w:tc>
          <w:tcPr>
            <w:tcW w:w="100" w:type="dxa"/>
            <w:vAlign w:val="bottom"/>
            <w:shd w:val="clear" w:color="auto" w:fill="CFF0FC"/>
          </w:tcPr>
          <w:p>
            <w:pPr>
              <w:spacing w:after="0"/>
              <w:rPr>
                <w:sz w:val="14"/>
                <w:szCs w:val="14"/>
                <w:color w:val="auto"/>
              </w:rPr>
            </w:pPr>
          </w:p>
        </w:tc>
        <w:tc>
          <w:tcPr>
            <w:tcW w:w="840" w:type="dxa"/>
            <w:vAlign w:val="bottom"/>
            <w:tcBorders>
              <w:right w:val="single" w:sz="8" w:color="auto"/>
            </w:tcBorders>
            <w:gridSpan w:val="2"/>
            <w:shd w:val="clear" w:color="auto" w:fill="CFF0FC"/>
          </w:tcPr>
          <w:p>
            <w:pPr>
              <w:jc w:val="right"/>
              <w:ind w:right="160"/>
              <w:spacing w:after="0" w:line="166" w:lineRule="exact"/>
              <w:rPr>
                <w:sz w:val="20"/>
                <w:szCs w:val="20"/>
                <w:color w:val="auto"/>
              </w:rPr>
            </w:pPr>
            <w:r>
              <w:rPr>
                <w:rFonts w:ascii="Arial" w:cs="Arial" w:eastAsia="Arial" w:hAnsi="Arial"/>
                <w:sz w:val="15"/>
                <w:szCs w:val="15"/>
                <w:color w:val="auto"/>
              </w:rPr>
              <w:t>(295,072)</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47,283</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47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295,025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295,072</w:t>
            </w:r>
          </w:p>
        </w:tc>
        <w:tc>
          <w:tcPr>
            <w:tcW w:w="100" w:type="dxa"/>
            <w:vAlign w:val="bottom"/>
            <w:shd w:val="clear" w:color="auto" w:fill="CFF0FC"/>
          </w:tcPr>
          <w:p>
            <w:pPr>
              <w:spacing w:after="0"/>
              <w:rPr>
                <w:sz w:val="14"/>
                <w:szCs w:val="14"/>
                <w:color w:val="auto"/>
              </w:rPr>
            </w:pPr>
          </w:p>
        </w:tc>
      </w:tr>
      <w:tr>
        <w:trPr>
          <w:trHeight w:val="175"/>
        </w:trPr>
        <w:tc>
          <w:tcPr>
            <w:tcW w:w="312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3,552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3,552</w:t>
            </w:r>
          </w:p>
        </w:tc>
        <w:tc>
          <w:tcPr>
            <w:tcW w:w="100" w:type="dxa"/>
            <w:vAlign w:val="bottom"/>
          </w:tcPr>
          <w:p>
            <w:pPr>
              <w:spacing w:after="0"/>
              <w:rPr>
                <w:sz w:val="15"/>
                <w:szCs w:val="15"/>
                <w:color w:val="auto"/>
              </w:rPr>
            </w:pPr>
          </w:p>
        </w:tc>
      </w:tr>
      <w:tr>
        <w:trPr>
          <w:trHeight w:val="172"/>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Changes in unrealized gain on</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120" w:type="dxa"/>
            <w:vAlign w:val="bottom"/>
            <w:shd w:val="clear" w:color="auto" w:fill="CFF0FC"/>
          </w:tcPr>
          <w:p>
            <w:pPr>
              <w:ind w:left="380"/>
              <w:spacing w:after="0" w:line="165" w:lineRule="exact"/>
              <w:rPr>
                <w:sz w:val="20"/>
                <w:szCs w:val="20"/>
                <w:color w:val="auto"/>
              </w:rPr>
            </w:pPr>
            <w:r>
              <w:rPr>
                <w:rFonts w:ascii="Arial" w:cs="Arial" w:eastAsia="Arial" w:hAnsi="Arial"/>
                <w:sz w:val="15"/>
                <w:szCs w:val="15"/>
                <w:color w:val="auto"/>
              </w:rPr>
              <w:t>available-for-sale securities</w:t>
            </w:r>
          </w:p>
        </w:tc>
        <w:tc>
          <w:tcPr>
            <w:tcW w:w="90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40" w:type="dxa"/>
            <w:vAlign w:val="bottom"/>
            <w:tcBorders>
              <w:right w:val="single" w:sz="8" w:color="auto"/>
            </w:tcBorders>
            <w:gridSpan w:val="2"/>
            <w:shd w:val="clear" w:color="auto" w:fill="CFF0FC"/>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4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147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147</w:t>
            </w:r>
          </w:p>
        </w:tc>
        <w:tc>
          <w:tcPr>
            <w:tcW w:w="100" w:type="dxa"/>
            <w:vAlign w:val="bottom"/>
            <w:shd w:val="clear" w:color="auto" w:fill="CFF0FC"/>
          </w:tcPr>
          <w:p>
            <w:pPr>
              <w:spacing w:after="0"/>
              <w:rPr>
                <w:sz w:val="14"/>
                <w:szCs w:val="14"/>
                <w:color w:val="auto"/>
              </w:rPr>
            </w:pPr>
          </w:p>
        </w:tc>
      </w:tr>
      <w:tr>
        <w:trPr>
          <w:trHeight w:val="175"/>
        </w:trPr>
        <w:tc>
          <w:tcPr>
            <w:tcW w:w="3120" w:type="dxa"/>
            <w:vAlign w:val="bottom"/>
          </w:tcPr>
          <w:p>
            <w:pPr>
              <w:ind w:left="260"/>
              <w:spacing w:after="0"/>
              <w:rPr>
                <w:sz w:val="20"/>
                <w:szCs w:val="20"/>
                <w:color w:val="auto"/>
              </w:rPr>
            </w:pPr>
            <w:r>
              <w:rPr>
                <w:rFonts w:ascii="Arial" w:cs="Arial" w:eastAsia="Arial" w:hAnsi="Arial"/>
                <w:sz w:val="15"/>
                <w:szCs w:val="15"/>
                <w:color w:val="auto"/>
              </w:rPr>
              <w:t>Net loss</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(7,669)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(7,669)</w:t>
            </w:r>
          </w:p>
        </w:tc>
      </w:tr>
      <w:tr>
        <w:trPr>
          <w:trHeight w:val="20"/>
        </w:trPr>
        <w:tc>
          <w:tcPr>
            <w:tcW w:w="3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31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June 30, 2019</w:t>
            </w: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65,899</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04"/>
              <w:spacing w:after="0" w:line="169" w:lineRule="exact"/>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515,248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102</w:t>
            </w:r>
          </w:p>
        </w:tc>
        <w:tc>
          <w:tcPr>
            <w:tcW w:w="1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(169,286)</w:t>
            </w:r>
          </w:p>
        </w:tc>
        <w:tc>
          <w:tcPr>
            <w:tcW w:w="28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346,130</w:t>
            </w:r>
          </w:p>
        </w:tc>
        <w:tc>
          <w:tcPr>
            <w:tcW w:w="100" w:type="dxa"/>
            <w:vAlign w:val="bottom"/>
            <w:shd w:val="clear" w:color="auto" w:fill="CFF0FC"/>
          </w:tcPr>
          <w:p>
            <w:pPr>
              <w:spacing w:after="0"/>
              <w:rPr>
                <w:sz w:val="14"/>
                <w:szCs w:val="14"/>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CONVERTIBLE PREFERRED STOCK AND STOCKHOLDERS’ EQUITY (DEFICIT)</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178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5"/>
                <w:szCs w:val="15"/>
                <w:b w:val="1"/>
                <w:bCs w:val="1"/>
                <w:color w:val="auto"/>
              </w:rPr>
              <w:t>Convertible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5"/>
                <w:szCs w:val="15"/>
                <w:b w:val="1"/>
                <w:bCs w:val="1"/>
                <w:color w:val="auto"/>
              </w:rPr>
              <w:t>Additional</w:t>
            </w:r>
          </w:p>
        </w:tc>
        <w:tc>
          <w:tcPr>
            <w:tcW w:w="22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Total</w:t>
            </w:r>
          </w:p>
        </w:tc>
      </w:tr>
      <w:tr>
        <w:trPr>
          <w:trHeight w:val="183"/>
        </w:trPr>
        <w:tc>
          <w:tcPr>
            <w:tcW w:w="3220" w:type="dxa"/>
            <w:vAlign w:val="bottom"/>
          </w:tcPr>
          <w:p>
            <w:pPr>
              <w:spacing w:after="0"/>
              <w:rPr>
                <w:sz w:val="15"/>
                <w:szCs w:val="15"/>
                <w:color w:val="auto"/>
              </w:rPr>
            </w:pPr>
          </w:p>
        </w:tc>
        <w:tc>
          <w:tcPr>
            <w:tcW w:w="178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5"/>
                <w:szCs w:val="15"/>
                <w:b w:val="1"/>
                <w:bCs w:val="1"/>
                <w:color w:val="auto"/>
              </w:rPr>
              <w:t>Preferred Stock</w:t>
            </w:r>
          </w:p>
        </w:tc>
        <w:tc>
          <w:tcPr>
            <w:tcW w:w="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5"/>
                <w:szCs w:val="15"/>
                <w:b w:val="1"/>
                <w:bCs w:val="1"/>
                <w:color w:val="auto"/>
              </w:rPr>
              <w:t>Common Stock</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9"/>
              </w:rPr>
              <w:t>Paid-In</w:t>
            </w:r>
          </w:p>
        </w:tc>
        <w:tc>
          <w:tcPr>
            <w:tcW w:w="1340" w:type="dxa"/>
            <w:vAlign w:val="bottom"/>
            <w:gridSpan w:val="3"/>
          </w:tcPr>
          <w:p>
            <w:pPr>
              <w:spacing w:after="0"/>
              <w:rPr>
                <w:sz w:val="20"/>
                <w:szCs w:val="20"/>
                <w:color w:val="auto"/>
              </w:rPr>
            </w:pPr>
            <w:r>
              <w:rPr>
                <w:rFonts w:ascii="Arial" w:cs="Arial" w:eastAsia="Arial" w:hAnsi="Arial"/>
                <w:sz w:val="15"/>
                <w:szCs w:val="15"/>
                <w:b w:val="1"/>
                <w:bCs w:val="1"/>
                <w:color w:val="auto"/>
              </w:rPr>
              <w:t>Comprehensive</w:t>
            </w:r>
          </w:p>
        </w:tc>
        <w:tc>
          <w:tcPr>
            <w:tcW w:w="1100" w:type="dxa"/>
            <w:vAlign w:val="bottom"/>
            <w:gridSpan w:val="3"/>
          </w:tcPr>
          <w:p>
            <w:pPr>
              <w:spacing w:after="0"/>
              <w:rPr>
                <w:sz w:val="20"/>
                <w:szCs w:val="20"/>
                <w:color w:val="auto"/>
              </w:rPr>
            </w:pPr>
            <w:r>
              <w:rPr>
                <w:rFonts w:ascii="Arial" w:cs="Arial" w:eastAsia="Arial" w:hAnsi="Arial"/>
                <w:sz w:val="15"/>
                <w:szCs w:val="15"/>
                <w:b w:val="1"/>
                <w:bCs w:val="1"/>
                <w:color w:val="auto"/>
              </w:rPr>
              <w:t>Accumulated</w:t>
            </w:r>
          </w:p>
        </w:tc>
        <w:tc>
          <w:tcPr>
            <w:tcW w:w="1200" w:type="dxa"/>
            <w:vAlign w:val="bottom"/>
            <w:gridSpan w:val="4"/>
          </w:tcPr>
          <w:p>
            <w:pPr>
              <w:ind w:left="80"/>
              <w:spacing w:after="0"/>
              <w:rPr>
                <w:sz w:val="20"/>
                <w:szCs w:val="20"/>
                <w:color w:val="auto"/>
              </w:rPr>
            </w:pPr>
            <w:r>
              <w:rPr>
                <w:rFonts w:ascii="Arial" w:cs="Arial" w:eastAsia="Arial" w:hAnsi="Arial"/>
                <w:sz w:val="15"/>
                <w:szCs w:val="15"/>
                <w:b w:val="1"/>
                <w:bCs w:val="1"/>
                <w:color w:val="auto"/>
              </w:rPr>
              <w:t>Stockholders'</w:t>
            </w:r>
          </w:p>
        </w:tc>
      </w:tr>
      <w:tr>
        <w:trPr>
          <w:trHeight w:val="169"/>
        </w:trPr>
        <w:tc>
          <w:tcPr>
            <w:tcW w:w="3220" w:type="dxa"/>
            <w:vAlign w:val="bottom"/>
            <w:tcBorders>
              <w:bottom w:val="single" w:sz="8" w:color="CFF0FC"/>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4"/>
              <w:spacing w:after="0" w:line="169" w:lineRule="exact"/>
              <w:rPr>
                <w:sz w:val="20"/>
                <w:szCs w:val="20"/>
                <w:color w:val="auto"/>
              </w:rPr>
            </w:pPr>
            <w:r>
              <w:rPr>
                <w:rFonts w:ascii="Arial" w:cs="Arial" w:eastAsia="Arial" w:hAnsi="Arial"/>
                <w:sz w:val="15"/>
                <w:szCs w:val="15"/>
                <w:b w:val="1"/>
                <w:bCs w:val="1"/>
                <w:color w:val="auto"/>
              </w:rPr>
              <w:t>Shares</w:t>
            </w:r>
          </w:p>
        </w:tc>
        <w:tc>
          <w:tcPr>
            <w:tcW w:w="200" w:type="dxa"/>
            <w:vAlign w:val="bottom"/>
            <w:tcBorders>
              <w:top w:val="single" w:sz="8" w:color="auto"/>
              <w:bottom w:val="single" w:sz="8" w:color="CFF0FC"/>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Amount</w:t>
            </w:r>
          </w:p>
        </w:tc>
        <w:tc>
          <w:tcPr>
            <w:tcW w:w="220" w:type="dxa"/>
            <w:vAlign w:val="bottom"/>
            <w:tcBorders>
              <w:bottom w:val="single" w:sz="8" w:color="CFF0FC"/>
              <w:right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4"/>
              <w:spacing w:after="0" w:line="169" w:lineRule="exact"/>
              <w:rPr>
                <w:sz w:val="20"/>
                <w:szCs w:val="20"/>
                <w:color w:val="auto"/>
              </w:rPr>
            </w:pPr>
            <w:r>
              <w:rPr>
                <w:rFonts w:ascii="Arial" w:cs="Arial" w:eastAsia="Arial" w:hAnsi="Arial"/>
                <w:sz w:val="15"/>
                <w:szCs w:val="15"/>
                <w:b w:val="1"/>
                <w:bCs w:val="1"/>
                <w:color w:val="auto"/>
              </w:rPr>
              <w:t>Shares</w:t>
            </w:r>
          </w:p>
        </w:tc>
        <w:tc>
          <w:tcPr>
            <w:tcW w:w="200" w:type="dxa"/>
            <w:vAlign w:val="bottom"/>
            <w:tcBorders>
              <w:top w:val="single" w:sz="8" w:color="auto"/>
              <w:bottom w:val="single" w:sz="8" w:color="CFF0FC"/>
            </w:tcBorders>
          </w:tcPr>
          <w:p>
            <w:pPr>
              <w:spacing w:after="0"/>
              <w:rPr>
                <w:sz w:val="14"/>
                <w:szCs w:val="14"/>
                <w:color w:val="auto"/>
              </w:rPr>
            </w:pPr>
          </w:p>
        </w:tc>
        <w:tc>
          <w:tcPr>
            <w:tcW w:w="680" w:type="dxa"/>
            <w:vAlign w:val="bottom"/>
            <w:tcBorders>
              <w:top w:val="single" w:sz="8" w:color="auto"/>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Amount</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4"/>
              <w:spacing w:after="0" w:line="169" w:lineRule="exact"/>
              <w:rPr>
                <w:sz w:val="20"/>
                <w:szCs w:val="20"/>
                <w:color w:val="auto"/>
              </w:rPr>
            </w:pPr>
            <w:r>
              <w:rPr>
                <w:rFonts w:ascii="Arial" w:cs="Arial" w:eastAsia="Arial" w:hAnsi="Arial"/>
                <w:sz w:val="15"/>
                <w:szCs w:val="15"/>
                <w:b w:val="1"/>
                <w:bCs w:val="1"/>
                <w:color w:val="auto"/>
                <w:w w:val="99"/>
              </w:rPr>
              <w:t>Capital</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4"/>
              <w:spacing w:after="0" w:line="169" w:lineRule="exact"/>
              <w:rPr>
                <w:sz w:val="20"/>
                <w:szCs w:val="20"/>
                <w:color w:val="auto"/>
              </w:rPr>
            </w:pPr>
            <w:r>
              <w:rPr>
                <w:rFonts w:ascii="Arial" w:cs="Arial" w:eastAsia="Arial" w:hAnsi="Arial"/>
                <w:sz w:val="15"/>
                <w:szCs w:val="15"/>
                <w:b w:val="1"/>
                <w:bCs w:val="1"/>
                <w:color w:val="auto"/>
              </w:rPr>
              <w:t>Loss</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5"/>
                <w:szCs w:val="15"/>
                <w:b w:val="1"/>
                <w:bCs w:val="1"/>
                <w:color w:val="auto"/>
              </w:rPr>
              <w:t>Deficit</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b w:val="1"/>
                <w:bCs w:val="1"/>
                <w:color w:val="auto"/>
              </w:rPr>
              <w:t>Deficit</w:t>
            </w:r>
          </w:p>
        </w:tc>
        <w:tc>
          <w:tcPr>
            <w:tcW w:w="100" w:type="dxa"/>
            <w:vAlign w:val="bottom"/>
            <w:tcBorders>
              <w:bottom w:val="single" w:sz="8" w:color="CFF0FC"/>
            </w:tcBorders>
          </w:tcPr>
          <w:p>
            <w:pPr>
              <w:spacing w:after="0"/>
              <w:rPr>
                <w:sz w:val="14"/>
                <w:szCs w:val="14"/>
                <w:color w:val="auto"/>
              </w:rPr>
            </w:pPr>
          </w:p>
        </w:tc>
      </w:tr>
      <w:tr>
        <w:trPr>
          <w:trHeight w:val="169"/>
        </w:trPr>
        <w:tc>
          <w:tcPr>
            <w:tcW w:w="32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December 31, 2017</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47,267</w:t>
            </w:r>
          </w:p>
        </w:tc>
        <w:tc>
          <w:tcPr>
            <w:tcW w:w="8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$ 294,874</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6,105</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324"/>
              <w:spacing w:after="0" w:line="169" w:lineRule="exact"/>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26,147</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1120" w:type="dxa"/>
            <w:vAlign w:val="bottom"/>
            <w:tcBorders>
              <w:right w:val="single" w:sz="8" w:color="CFF0FC"/>
            </w:tcBorders>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(431)</w:t>
            </w:r>
          </w:p>
        </w:tc>
        <w:tc>
          <w:tcPr>
            <w:tcW w:w="1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(146,700)</w:t>
            </w:r>
          </w:p>
        </w:tc>
        <w:tc>
          <w:tcPr>
            <w:tcW w:w="26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(120,978)</w:t>
            </w:r>
          </w:p>
        </w:tc>
      </w:tr>
      <w:tr>
        <w:trPr>
          <w:trHeight w:val="165"/>
        </w:trPr>
        <w:tc>
          <w:tcPr>
            <w:tcW w:w="3220" w:type="dxa"/>
            <w:vAlign w:val="bottom"/>
          </w:tcPr>
          <w:p>
            <w:pPr>
              <w:ind w:left="260"/>
              <w:spacing w:after="0" w:line="166" w:lineRule="exact"/>
              <w:rPr>
                <w:sz w:val="20"/>
                <w:szCs w:val="20"/>
                <w:color w:val="auto"/>
              </w:rPr>
            </w:pPr>
            <w:r>
              <w:rPr>
                <w:rFonts w:ascii="Arial" w:cs="Arial" w:eastAsia="Arial" w:hAnsi="Arial"/>
                <w:sz w:val="15"/>
                <w:szCs w:val="15"/>
                <w:color w:val="auto"/>
              </w:rPr>
              <w:t>Vesting of common stock from early</w:t>
            </w: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220" w:type="dxa"/>
            <w:vAlign w:val="bottom"/>
          </w:tcPr>
          <w:p>
            <w:pPr>
              <w:ind w:left="380"/>
              <w:spacing w:after="0" w:line="166" w:lineRule="exact"/>
              <w:rPr>
                <w:sz w:val="20"/>
                <w:szCs w:val="20"/>
                <w:color w:val="auto"/>
              </w:rPr>
            </w:pPr>
            <w:r>
              <w:rPr>
                <w:rFonts w:ascii="Arial" w:cs="Arial" w:eastAsia="Arial" w:hAnsi="Arial"/>
                <w:sz w:val="15"/>
                <w:szCs w:val="15"/>
                <w:color w:val="auto"/>
              </w:rPr>
              <w:t>exercises</w:t>
            </w: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Arial" w:cs="Arial" w:eastAsia="Arial" w:hAnsi="Arial"/>
                <w:sz w:val="15"/>
                <w:szCs w:val="15"/>
                <w:color w:val="auto"/>
              </w:rPr>
              <w:t>35</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Arial" w:cs="Arial" w:eastAsia="Arial" w:hAnsi="Arial"/>
                <w:sz w:val="15"/>
                <w:szCs w:val="15"/>
                <w:color w:val="auto"/>
              </w:rPr>
              <w:t>108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108</w:t>
            </w:r>
          </w:p>
        </w:tc>
        <w:tc>
          <w:tcPr>
            <w:tcW w:w="100" w:type="dxa"/>
            <w:vAlign w:val="bottom"/>
          </w:tcPr>
          <w:p>
            <w:pPr>
              <w:spacing w:after="0"/>
              <w:rPr>
                <w:sz w:val="14"/>
                <w:szCs w:val="14"/>
                <w:color w:val="auto"/>
              </w:rPr>
            </w:pPr>
          </w:p>
        </w:tc>
      </w:tr>
      <w:tr>
        <w:trPr>
          <w:trHeight w:val="172"/>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of common stock upon</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220" w:type="dxa"/>
            <w:vAlign w:val="bottom"/>
            <w:shd w:val="clear" w:color="auto" w:fill="CFF0FC"/>
          </w:tcPr>
          <w:p>
            <w:pPr>
              <w:ind w:left="380"/>
              <w:spacing w:after="0" w:line="165" w:lineRule="exact"/>
              <w:rPr>
                <w:sz w:val="20"/>
                <w:szCs w:val="20"/>
                <w:color w:val="auto"/>
              </w:rPr>
            </w:pPr>
            <w:r>
              <w:rPr>
                <w:rFonts w:ascii="Arial" w:cs="Arial" w:eastAsia="Arial" w:hAnsi="Arial"/>
                <w:sz w:val="15"/>
                <w:szCs w:val="15"/>
                <w:color w:val="auto"/>
              </w:rPr>
              <w:t>exercise of stock options</w:t>
            </w:r>
          </w:p>
        </w:tc>
        <w:tc>
          <w:tcPr>
            <w:tcW w:w="68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4"/>
                <w:szCs w:val="14"/>
                <w:color w:val="auto"/>
              </w:rPr>
            </w:pPr>
          </w:p>
        </w:tc>
        <w:tc>
          <w:tcPr>
            <w:tcW w:w="900" w:type="dxa"/>
            <w:vAlign w:val="bottom"/>
            <w:tcBorders>
              <w:right w:val="single" w:sz="8" w:color="auto"/>
            </w:tcBorders>
            <w:gridSpan w:val="2"/>
            <w:shd w:val="clear" w:color="auto" w:fill="CFF0FC"/>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35</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71</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200"/>
              <w:spacing w:after="0" w:line="165" w:lineRule="exact"/>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71</w:t>
            </w:r>
          </w:p>
        </w:tc>
        <w:tc>
          <w:tcPr>
            <w:tcW w:w="100" w:type="dxa"/>
            <w:vAlign w:val="bottom"/>
            <w:shd w:val="clear" w:color="auto" w:fill="CFF0FC"/>
          </w:tcPr>
          <w:p>
            <w:pPr>
              <w:spacing w:after="0"/>
              <w:rPr>
                <w:sz w:val="14"/>
                <w:szCs w:val="14"/>
                <w:color w:val="auto"/>
              </w:rPr>
            </w:pPr>
          </w:p>
        </w:tc>
      </w:tr>
      <w:tr>
        <w:trPr>
          <w:trHeight w:val="175"/>
        </w:trPr>
        <w:tc>
          <w:tcPr>
            <w:tcW w:w="3220" w:type="dxa"/>
            <w:vAlign w:val="bottom"/>
          </w:tcPr>
          <w:p>
            <w:pPr>
              <w:ind w:left="260"/>
              <w:spacing w:after="0"/>
              <w:rPr>
                <w:sz w:val="20"/>
                <w:szCs w:val="20"/>
                <w:color w:val="auto"/>
              </w:rPr>
            </w:pPr>
            <w:r>
              <w:rPr>
                <w:rFonts w:ascii="Arial" w:cs="Arial" w:eastAsia="Arial" w:hAnsi="Arial"/>
                <w:sz w:val="15"/>
                <w:szCs w:val="15"/>
                <w:color w:val="auto"/>
              </w:rPr>
              <w:t>Repurchase of common stock</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(23)</w:t>
            </w:r>
          </w:p>
        </w:tc>
        <w:tc>
          <w:tcPr>
            <w:tcW w:w="48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(185)</w:t>
            </w:r>
          </w:p>
        </w:tc>
        <w:tc>
          <w:tcPr>
            <w:tcW w:w="22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(185)</w:t>
            </w:r>
          </w:p>
        </w:tc>
      </w:tr>
      <w:tr>
        <w:trPr>
          <w:trHeight w:val="175"/>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Stock-based compensation expense</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9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2,179</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2,179</w:t>
            </w:r>
          </w:p>
        </w:tc>
        <w:tc>
          <w:tcPr>
            <w:tcW w:w="100" w:type="dxa"/>
            <w:vAlign w:val="bottom"/>
            <w:shd w:val="clear" w:color="auto" w:fill="CFF0FC"/>
          </w:tcPr>
          <w:p>
            <w:pPr>
              <w:spacing w:after="0"/>
              <w:rPr>
                <w:sz w:val="15"/>
                <w:szCs w:val="15"/>
                <w:color w:val="auto"/>
              </w:rPr>
            </w:pPr>
          </w:p>
        </w:tc>
      </w:tr>
      <w:tr>
        <w:trPr>
          <w:trHeight w:val="172"/>
        </w:trPr>
        <w:tc>
          <w:tcPr>
            <w:tcW w:w="3220" w:type="dxa"/>
            <w:vAlign w:val="bottom"/>
          </w:tcPr>
          <w:p>
            <w:pPr>
              <w:ind w:left="260"/>
              <w:spacing w:after="0"/>
              <w:rPr>
                <w:sz w:val="20"/>
                <w:szCs w:val="20"/>
                <w:color w:val="auto"/>
              </w:rPr>
            </w:pPr>
            <w:r>
              <w:rPr>
                <w:rFonts w:ascii="Arial" w:cs="Arial" w:eastAsia="Arial" w:hAnsi="Arial"/>
                <w:sz w:val="15"/>
                <w:szCs w:val="15"/>
                <w:color w:val="auto"/>
              </w:rPr>
              <w:t>Changes in unrealized loss on</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220" w:type="dxa"/>
            <w:vAlign w:val="bottom"/>
          </w:tcPr>
          <w:p>
            <w:pPr>
              <w:ind w:left="380"/>
              <w:spacing w:after="0" w:line="165" w:lineRule="exact"/>
              <w:rPr>
                <w:sz w:val="20"/>
                <w:szCs w:val="20"/>
                <w:color w:val="auto"/>
              </w:rPr>
            </w:pPr>
            <w:r>
              <w:rPr>
                <w:rFonts w:ascii="Arial" w:cs="Arial" w:eastAsia="Arial" w:hAnsi="Arial"/>
                <w:sz w:val="15"/>
                <w:szCs w:val="15"/>
                <w:color w:val="auto"/>
              </w:rPr>
              <w:t>available-for-sale securities</w:t>
            </w:r>
          </w:p>
        </w:tc>
        <w:tc>
          <w:tcPr>
            <w:tcW w:w="680" w:type="dxa"/>
            <w:vAlign w:val="bottom"/>
          </w:tcPr>
          <w:p>
            <w:pPr>
              <w:jc w:val="right"/>
              <w:spacing w:after="0" w:line="165"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40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140"/>
              <w:spacing w:after="0" w:line="165" w:lineRule="exact"/>
              <w:rPr>
                <w:sz w:val="20"/>
                <w:szCs w:val="20"/>
                <w:color w:val="auto"/>
              </w:rPr>
            </w:pPr>
            <w:r>
              <w:rPr>
                <w:rFonts w:ascii="Arial" w:cs="Arial" w:eastAsia="Arial" w:hAnsi="Arial"/>
                <w:sz w:val="15"/>
                <w:szCs w:val="15"/>
                <w:color w:val="auto"/>
              </w:rPr>
              <w:t>(223)</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60"/>
              <w:spacing w:after="0" w:line="165" w:lineRule="exact"/>
              <w:rPr>
                <w:sz w:val="20"/>
                <w:szCs w:val="20"/>
                <w:color w:val="auto"/>
              </w:rPr>
            </w:pPr>
            <w:r>
              <w:rPr>
                <w:rFonts w:ascii="Arial" w:cs="Arial" w:eastAsia="Arial" w:hAnsi="Arial"/>
                <w:sz w:val="15"/>
                <w:szCs w:val="15"/>
                <w:color w:val="auto"/>
              </w:rPr>
              <w:t>(223)</w:t>
            </w:r>
          </w:p>
        </w:tc>
      </w:tr>
      <w:tr>
        <w:trPr>
          <w:trHeight w:val="175"/>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loss</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(3,941)</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(3,941)</w:t>
            </w:r>
          </w:p>
        </w:tc>
      </w:tr>
      <w:tr>
        <w:trPr>
          <w:trHeight w:val="20"/>
        </w:trPr>
        <w:tc>
          <w:tcPr>
            <w:tcW w:w="3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220" w:type="dxa"/>
            <w:vAlign w:val="bottom"/>
          </w:tcPr>
          <w:p>
            <w:pPr>
              <w:spacing w:after="0" w:line="169" w:lineRule="exact"/>
              <w:rPr>
                <w:sz w:val="20"/>
                <w:szCs w:val="20"/>
                <w:color w:val="auto"/>
              </w:rPr>
            </w:pPr>
            <w:r>
              <w:rPr>
                <w:rFonts w:ascii="Arial" w:cs="Arial" w:eastAsia="Arial" w:hAnsi="Arial"/>
                <w:sz w:val="15"/>
                <w:szCs w:val="15"/>
                <w:color w:val="auto"/>
              </w:rPr>
              <w:t>Balance at March 31, 2018</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47,267</w:t>
            </w: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$ 294,874</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6,152</w:t>
            </w:r>
          </w:p>
        </w:tc>
        <w:tc>
          <w:tcPr>
            <w:tcW w:w="200" w:type="dxa"/>
            <w:vAlign w:val="bottom"/>
          </w:tcPr>
          <w:p>
            <w:pPr>
              <w:spacing w:after="0"/>
              <w:rPr>
                <w:sz w:val="14"/>
                <w:szCs w:val="14"/>
                <w:color w:val="auto"/>
              </w:rPr>
            </w:pPr>
          </w:p>
        </w:tc>
        <w:tc>
          <w:tcPr>
            <w:tcW w:w="480" w:type="dxa"/>
            <w:vAlign w:val="bottom"/>
          </w:tcPr>
          <w:p>
            <w:pPr>
              <w:jc w:val="right"/>
              <w:ind w:right="324"/>
              <w:spacing w:after="0" w:line="169" w:lineRule="exact"/>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c>
          <w:tcPr>
            <w:tcW w:w="20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28,320</w:t>
            </w:r>
          </w:p>
        </w:tc>
        <w:tc>
          <w:tcPr>
            <w:tcW w:w="200" w:type="dxa"/>
            <w:vAlign w:val="bottom"/>
          </w:tcPr>
          <w:p>
            <w:pPr>
              <w:spacing w:after="0"/>
              <w:rPr>
                <w:sz w:val="14"/>
                <w:szCs w:val="14"/>
                <w:color w:val="auto"/>
              </w:rPr>
            </w:pPr>
          </w:p>
        </w:tc>
        <w:tc>
          <w:tcPr>
            <w:tcW w:w="2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(654)</w:t>
            </w:r>
          </w:p>
        </w:tc>
        <w:tc>
          <w:tcPr>
            <w:tcW w:w="180" w:type="dxa"/>
            <w:vAlign w:val="bottom"/>
          </w:tcPr>
          <w:p>
            <w:pPr>
              <w:spacing w:after="0"/>
              <w:rPr>
                <w:sz w:val="14"/>
                <w:szCs w:val="14"/>
                <w:color w:val="auto"/>
              </w:rPr>
            </w:pPr>
          </w:p>
        </w:tc>
        <w:tc>
          <w:tcPr>
            <w:tcW w:w="92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(150,641)</w:t>
            </w:r>
          </w:p>
        </w:tc>
        <w:tc>
          <w:tcPr>
            <w:tcW w:w="26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(122,969)</w:t>
            </w:r>
          </w:p>
        </w:tc>
      </w:tr>
      <w:tr>
        <w:trPr>
          <w:trHeight w:val="172"/>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of common stock to</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2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participants in 401(k) Plan</w:t>
            </w:r>
          </w:p>
        </w:tc>
        <w:tc>
          <w:tcPr>
            <w:tcW w:w="6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4"/>
                <w:szCs w:val="14"/>
                <w:color w:val="auto"/>
              </w:rPr>
            </w:pPr>
          </w:p>
        </w:tc>
        <w:tc>
          <w:tcPr>
            <w:tcW w:w="900" w:type="dxa"/>
            <w:vAlign w:val="bottom"/>
            <w:tcBorders>
              <w:right w:val="single" w:sz="8" w:color="auto"/>
            </w:tcBorders>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11</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line="166" w:lineRule="exact"/>
              <w:rPr>
                <w:sz w:val="20"/>
                <w:szCs w:val="20"/>
                <w:color w:val="auto"/>
              </w:rPr>
            </w:pPr>
            <w:r>
              <w:rPr>
                <w:rFonts w:ascii="Arial" w:cs="Arial" w:eastAsia="Arial" w:hAnsi="Arial"/>
                <w:sz w:val="15"/>
                <w:szCs w:val="15"/>
                <w:color w:val="auto"/>
              </w:rPr>
              <w:t>—</w:t>
            </w:r>
          </w:p>
        </w:tc>
      </w:tr>
      <w:tr>
        <w:trPr>
          <w:trHeight w:val="172"/>
        </w:trPr>
        <w:tc>
          <w:tcPr>
            <w:tcW w:w="3220" w:type="dxa"/>
            <w:vAlign w:val="bottom"/>
          </w:tcPr>
          <w:p>
            <w:pPr>
              <w:ind w:left="260"/>
              <w:spacing w:after="0"/>
              <w:rPr>
                <w:sz w:val="20"/>
                <w:szCs w:val="20"/>
                <w:color w:val="auto"/>
              </w:rPr>
            </w:pPr>
            <w:r>
              <w:rPr>
                <w:rFonts w:ascii="Arial" w:cs="Arial" w:eastAsia="Arial" w:hAnsi="Arial"/>
                <w:sz w:val="15"/>
                <w:szCs w:val="15"/>
                <w:color w:val="auto"/>
              </w:rPr>
              <w:t>Vesting of common stock from early</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220" w:type="dxa"/>
            <w:vAlign w:val="bottom"/>
          </w:tcPr>
          <w:p>
            <w:pPr>
              <w:ind w:left="380"/>
              <w:spacing w:after="0" w:line="166" w:lineRule="exact"/>
              <w:rPr>
                <w:sz w:val="20"/>
                <w:szCs w:val="20"/>
                <w:color w:val="auto"/>
              </w:rPr>
            </w:pPr>
            <w:r>
              <w:rPr>
                <w:rFonts w:ascii="Arial" w:cs="Arial" w:eastAsia="Arial" w:hAnsi="Arial"/>
                <w:sz w:val="15"/>
                <w:szCs w:val="15"/>
                <w:color w:val="auto"/>
              </w:rPr>
              <w:t>exercises</w:t>
            </w: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Arial" w:cs="Arial" w:eastAsia="Arial" w:hAnsi="Arial"/>
                <w:sz w:val="15"/>
                <w:szCs w:val="15"/>
                <w:color w:val="auto"/>
              </w:rPr>
              <w:t>31</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Arial" w:cs="Arial" w:eastAsia="Arial" w:hAnsi="Arial"/>
                <w:sz w:val="15"/>
                <w:szCs w:val="15"/>
                <w:color w:val="auto"/>
              </w:rPr>
              <w:t>108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108</w:t>
            </w:r>
          </w:p>
        </w:tc>
        <w:tc>
          <w:tcPr>
            <w:tcW w:w="100" w:type="dxa"/>
            <w:vAlign w:val="bottom"/>
          </w:tcPr>
          <w:p>
            <w:pPr>
              <w:spacing w:after="0"/>
              <w:rPr>
                <w:sz w:val="14"/>
                <w:szCs w:val="14"/>
                <w:color w:val="auto"/>
              </w:rPr>
            </w:pPr>
          </w:p>
        </w:tc>
      </w:tr>
      <w:tr>
        <w:trPr>
          <w:trHeight w:val="172"/>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of common stock upon</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2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exercise of stock options</w:t>
            </w:r>
          </w:p>
        </w:tc>
        <w:tc>
          <w:tcPr>
            <w:tcW w:w="6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4"/>
                <w:szCs w:val="14"/>
                <w:color w:val="auto"/>
              </w:rPr>
            </w:pPr>
          </w:p>
        </w:tc>
        <w:tc>
          <w:tcPr>
            <w:tcW w:w="900" w:type="dxa"/>
            <w:vAlign w:val="bottom"/>
            <w:tcBorders>
              <w:right w:val="single" w:sz="8" w:color="auto"/>
            </w:tcBorders>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81</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163</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164</w:t>
            </w:r>
          </w:p>
        </w:tc>
        <w:tc>
          <w:tcPr>
            <w:tcW w:w="100" w:type="dxa"/>
            <w:vAlign w:val="bottom"/>
            <w:shd w:val="clear" w:color="auto" w:fill="CFF0FC"/>
          </w:tcPr>
          <w:p>
            <w:pPr>
              <w:spacing w:after="0"/>
              <w:rPr>
                <w:sz w:val="14"/>
                <w:szCs w:val="14"/>
                <w:color w:val="auto"/>
              </w:rPr>
            </w:pPr>
          </w:p>
        </w:tc>
      </w:tr>
      <w:tr>
        <w:trPr>
          <w:trHeight w:val="175"/>
        </w:trPr>
        <w:tc>
          <w:tcPr>
            <w:tcW w:w="322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2,292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2,292</w:t>
            </w:r>
          </w:p>
        </w:tc>
        <w:tc>
          <w:tcPr>
            <w:tcW w:w="100" w:type="dxa"/>
            <w:vAlign w:val="bottom"/>
          </w:tcPr>
          <w:p>
            <w:pPr>
              <w:spacing w:after="0"/>
              <w:rPr>
                <w:sz w:val="15"/>
                <w:szCs w:val="15"/>
                <w:color w:val="auto"/>
              </w:rPr>
            </w:pPr>
          </w:p>
        </w:tc>
      </w:tr>
      <w:tr>
        <w:trPr>
          <w:trHeight w:val="172"/>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Changes in unrealized gain on</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2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available-for-sale securities</w:t>
            </w:r>
          </w:p>
        </w:tc>
        <w:tc>
          <w:tcPr>
            <w:tcW w:w="6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4"/>
                <w:szCs w:val="14"/>
                <w:color w:val="auto"/>
              </w:rPr>
            </w:pPr>
          </w:p>
        </w:tc>
        <w:tc>
          <w:tcPr>
            <w:tcW w:w="900" w:type="dxa"/>
            <w:vAlign w:val="bottom"/>
            <w:tcBorders>
              <w:right w:val="single" w:sz="8" w:color="auto"/>
            </w:tcBorders>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4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156</w:t>
            </w: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156</w:t>
            </w:r>
          </w:p>
        </w:tc>
        <w:tc>
          <w:tcPr>
            <w:tcW w:w="100" w:type="dxa"/>
            <w:vAlign w:val="bottom"/>
            <w:shd w:val="clear" w:color="auto" w:fill="CFF0FC"/>
          </w:tcPr>
          <w:p>
            <w:pPr>
              <w:spacing w:after="0"/>
              <w:rPr>
                <w:sz w:val="14"/>
                <w:szCs w:val="14"/>
                <w:color w:val="auto"/>
              </w:rPr>
            </w:pPr>
          </w:p>
        </w:tc>
      </w:tr>
      <w:tr>
        <w:trPr>
          <w:trHeight w:val="175"/>
        </w:trPr>
        <w:tc>
          <w:tcPr>
            <w:tcW w:w="3220" w:type="dxa"/>
            <w:vAlign w:val="bottom"/>
          </w:tcPr>
          <w:p>
            <w:pPr>
              <w:ind w:left="260"/>
              <w:spacing w:after="0"/>
              <w:rPr>
                <w:sz w:val="20"/>
                <w:szCs w:val="20"/>
                <w:color w:val="auto"/>
              </w:rPr>
            </w:pPr>
            <w:r>
              <w:rPr>
                <w:rFonts w:ascii="Arial" w:cs="Arial" w:eastAsia="Arial" w:hAnsi="Arial"/>
                <w:sz w:val="15"/>
                <w:szCs w:val="15"/>
                <w:color w:val="auto"/>
              </w:rPr>
              <w:t>Net loss</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(3,200)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(3,200)</w:t>
            </w:r>
          </w:p>
        </w:tc>
      </w:tr>
      <w:tr>
        <w:trPr>
          <w:trHeight w:val="20"/>
        </w:trPr>
        <w:tc>
          <w:tcPr>
            <w:tcW w:w="3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32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June 30, 2018</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47,267</w:t>
            </w:r>
          </w:p>
        </w:tc>
        <w:tc>
          <w:tcPr>
            <w:tcW w:w="8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$ 294,874</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6,275</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324"/>
              <w:spacing w:after="0" w:line="169" w:lineRule="exact"/>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30,883</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1120" w:type="dxa"/>
            <w:vAlign w:val="bottom"/>
            <w:tcBorders>
              <w:right w:val="single" w:sz="8" w:color="CFF0FC"/>
            </w:tcBorders>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(498)</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(153,841)</w:t>
            </w:r>
          </w:p>
        </w:tc>
        <w:tc>
          <w:tcPr>
            <w:tcW w:w="26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(123,449)</w:t>
            </w:r>
          </w:p>
        </w:tc>
      </w:tr>
      <w:tr>
        <w:trPr>
          <w:trHeight w:val="20"/>
        </w:trPr>
        <w:tc>
          <w:tcPr>
            <w:tcW w:w="3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Six Months Ended June 30,</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6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Net loss</w:t>
            </w:r>
          </w:p>
        </w:tc>
        <w:tc>
          <w:tcPr>
            <w:tcW w:w="192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(15,937)</w:t>
            </w:r>
          </w:p>
        </w:tc>
        <w:tc>
          <w:tcPr>
            <w:tcW w:w="132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(7,141)</w:t>
            </w: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48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3,453</w:t>
            </w:r>
          </w:p>
        </w:tc>
        <w:tc>
          <w:tcPr>
            <w:tcW w:w="120" w:type="dxa"/>
            <w:vAlign w:val="bottom"/>
          </w:tcPr>
          <w:p>
            <w:pPr>
              <w:spacing w:after="0"/>
              <w:rPr>
                <w:sz w:val="18"/>
                <w:szCs w:val="18"/>
                <w:color w:val="auto"/>
              </w:rPr>
            </w:pP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discount on marketable securities</w:t>
            </w: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(171)</w:t>
            </w:r>
          </w:p>
        </w:tc>
      </w:tr>
      <w:tr>
        <w:trPr>
          <w:trHeight w:val="216"/>
        </w:trPr>
        <w:tc>
          <w:tcPr>
            <w:tcW w:w="6480" w:type="dxa"/>
            <w:vAlign w:val="bottom"/>
          </w:tcPr>
          <w:p>
            <w:pPr>
              <w:ind w:left="260"/>
              <w:spacing w:after="0"/>
              <w:rPr>
                <w:sz w:val="20"/>
                <w:szCs w:val="20"/>
                <w:color w:val="auto"/>
              </w:rPr>
            </w:pPr>
            <w:r>
              <w:rPr>
                <w:rFonts w:ascii="Arial" w:cs="Arial" w:eastAsia="Arial" w:hAnsi="Arial"/>
                <w:sz w:val="18"/>
                <w:szCs w:val="18"/>
                <w:color w:val="auto"/>
              </w:rPr>
              <w:t>Stock-based compensation expenses</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18"/>
                <w:szCs w:val="18"/>
                <w:color w:val="auto"/>
              </w:rPr>
            </w:pP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Early exercised stock options</w:t>
            </w: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8"/>
                <w:szCs w:val="18"/>
                <w:color w:val="auto"/>
              </w:rPr>
            </w:pPr>
          </w:p>
        </w:tc>
      </w:tr>
      <w:tr>
        <w:trPr>
          <w:trHeight w:val="216"/>
        </w:trPr>
        <w:tc>
          <w:tcPr>
            <w:tcW w:w="6480" w:type="dxa"/>
            <w:vAlign w:val="bottom"/>
          </w:tcPr>
          <w:p>
            <w:pPr>
              <w:ind w:left="260"/>
              <w:spacing w:after="0"/>
              <w:rPr>
                <w:sz w:val="20"/>
                <w:szCs w:val="20"/>
                <w:color w:val="auto"/>
              </w:rPr>
            </w:pPr>
            <w:r>
              <w:rPr>
                <w:rFonts w:ascii="Arial" w:cs="Arial" w:eastAsia="Arial" w:hAnsi="Arial"/>
                <w:sz w:val="18"/>
                <w:szCs w:val="18"/>
                <w:color w:val="auto"/>
              </w:rPr>
              <w:t>Other non-cash expenses</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480" w:type="dxa"/>
            <w:vAlign w:val="bottom"/>
          </w:tcPr>
          <w:p>
            <w:pPr>
              <w:ind w:left="500"/>
              <w:spacing w:after="0"/>
              <w:rPr>
                <w:sz w:val="20"/>
                <w:szCs w:val="20"/>
                <w:color w:val="auto"/>
              </w:rPr>
            </w:pPr>
            <w:r>
              <w:rPr>
                <w:rFonts w:ascii="Arial" w:cs="Arial" w:eastAsia="Arial" w:hAnsi="Arial"/>
                <w:sz w:val="18"/>
                <w:szCs w:val="18"/>
                <w:color w:val="auto"/>
              </w:rPr>
              <w:t>Receivable from related party collaboration</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(428)</w:t>
            </w:r>
          </w:p>
        </w:tc>
      </w:tr>
      <w:tr>
        <w:trPr>
          <w:trHeight w:val="216"/>
        </w:trPr>
        <w:tc>
          <w:tcPr>
            <w:tcW w:w="64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18"/>
                <w:szCs w:val="18"/>
                <w:color w:val="auto"/>
              </w:rPr>
            </w:pPr>
          </w:p>
        </w:tc>
      </w:tr>
      <w:tr>
        <w:trPr>
          <w:trHeight w:val="216"/>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(415)</w:t>
            </w:r>
          </w:p>
        </w:tc>
      </w:tr>
      <w:tr>
        <w:trPr>
          <w:trHeight w:val="216"/>
        </w:trPr>
        <w:tc>
          <w:tcPr>
            <w:tcW w:w="6480" w:type="dxa"/>
            <w:vAlign w:val="bottom"/>
          </w:tcPr>
          <w:p>
            <w:pPr>
              <w:ind w:left="500"/>
              <w:spacing w:after="0"/>
              <w:rPr>
                <w:sz w:val="20"/>
                <w:szCs w:val="20"/>
                <w:color w:val="auto"/>
              </w:rPr>
            </w:pPr>
            <w:r>
              <w:rPr>
                <w:rFonts w:ascii="Arial" w:cs="Arial" w:eastAsia="Arial" w:hAnsi="Arial"/>
                <w:sz w:val="18"/>
                <w:szCs w:val="18"/>
                <w:color w:val="auto"/>
              </w:rPr>
              <w:t>Deferred rent</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(652)</w:t>
            </w:r>
          </w:p>
        </w:tc>
      </w:tr>
      <w:tr>
        <w:trPr>
          <w:trHeight w:val="216"/>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(11,682)</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(9,939)</w:t>
            </w:r>
          </w:p>
        </w:tc>
      </w:tr>
      <w:tr>
        <w:trPr>
          <w:trHeight w:val="20"/>
        </w:trPr>
        <w:tc>
          <w:tcPr>
            <w:tcW w:w="6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480" w:type="dxa"/>
            <w:vAlign w:val="bottom"/>
          </w:tcPr>
          <w:p>
            <w:pPr>
              <w:ind w:left="740"/>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(19,877)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(8,754)</w:t>
            </w:r>
          </w:p>
        </w:tc>
      </w:tr>
      <w:tr>
        <w:trPr>
          <w:trHeight w:val="209"/>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480" w:type="dxa"/>
            <w:vAlign w:val="bottom"/>
          </w:tcPr>
          <w:p>
            <w:pPr>
              <w:ind w:left="260"/>
              <w:spacing w:after="0"/>
              <w:rPr>
                <w:sz w:val="20"/>
                <w:szCs w:val="20"/>
                <w:color w:val="auto"/>
              </w:rPr>
            </w:pPr>
            <w:r>
              <w:rPr>
                <w:rFonts w:ascii="Arial" w:cs="Arial" w:eastAsia="Arial" w:hAnsi="Arial"/>
                <w:sz w:val="18"/>
                <w:szCs w:val="18"/>
                <w:color w:val="auto"/>
              </w:rPr>
              <w:t>Purchase of marketable securities</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(75,224)</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(70,245)</w:t>
            </w: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and maturities of marketable securities</w:t>
            </w: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97,332</w:t>
            </w:r>
          </w:p>
        </w:tc>
        <w:tc>
          <w:tcPr>
            <w:tcW w:w="120" w:type="dxa"/>
            <w:vAlign w:val="bottom"/>
            <w:shd w:val="clear" w:color="auto" w:fill="CFF0FC"/>
          </w:tcPr>
          <w:p>
            <w:pPr>
              <w:spacing w:after="0"/>
              <w:rPr>
                <w:sz w:val="18"/>
                <w:szCs w:val="18"/>
                <w:color w:val="auto"/>
              </w:rPr>
            </w:pPr>
          </w:p>
        </w:tc>
      </w:tr>
      <w:tr>
        <w:trPr>
          <w:trHeight w:val="216"/>
        </w:trPr>
        <w:tc>
          <w:tcPr>
            <w:tcW w:w="6480" w:type="dxa"/>
            <w:vAlign w:val="bottom"/>
          </w:tcPr>
          <w:p>
            <w:pPr>
              <w:ind w:left="260"/>
              <w:spacing w:after="0"/>
              <w:rPr>
                <w:sz w:val="20"/>
                <w:szCs w:val="20"/>
                <w:color w:val="auto"/>
              </w:rPr>
            </w:pPr>
            <w:r>
              <w:rPr>
                <w:rFonts w:ascii="Arial" w:cs="Arial" w:eastAsia="Arial" w:hAnsi="Arial"/>
                <w:sz w:val="18"/>
                <w:szCs w:val="18"/>
                <w:color w:val="auto"/>
              </w:rPr>
              <w:t>Purchase of property and equipment</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(2,275)</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(5,063)</w:t>
            </w:r>
          </w:p>
        </w:tc>
      </w:tr>
      <w:tr>
        <w:trPr>
          <w:trHeight w:val="209"/>
        </w:trPr>
        <w:tc>
          <w:tcPr>
            <w:tcW w:w="64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7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51,491</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22,024</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64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upon initial public</w:t>
            </w: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4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offering, net of issuance costs</w:t>
            </w:r>
          </w:p>
        </w:tc>
        <w:tc>
          <w:tcPr>
            <w:tcW w:w="7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110,078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5"/>
        </w:trPr>
        <w:tc>
          <w:tcPr>
            <w:tcW w:w="648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upon completion</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480" w:type="dxa"/>
            <w:vAlign w:val="bottom"/>
          </w:tcPr>
          <w:p>
            <w:pPr>
              <w:ind w:left="400"/>
              <w:spacing w:after="0" w:line="203" w:lineRule="exact"/>
              <w:rPr>
                <w:sz w:val="20"/>
                <w:szCs w:val="20"/>
                <w:color w:val="auto"/>
              </w:rPr>
            </w:pPr>
            <w:r>
              <w:rPr>
                <w:rFonts w:ascii="Arial" w:cs="Arial" w:eastAsia="Arial" w:hAnsi="Arial"/>
                <w:sz w:val="18"/>
                <w:szCs w:val="18"/>
                <w:color w:val="auto"/>
              </w:rPr>
              <w:t>of private placement</w:t>
            </w: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65,947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5"/>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upon exercise of</w:t>
            </w: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4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stock options</w:t>
            </w:r>
          </w:p>
        </w:tc>
        <w:tc>
          <w:tcPr>
            <w:tcW w:w="7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510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234</w:t>
            </w:r>
          </w:p>
        </w:tc>
        <w:tc>
          <w:tcPr>
            <w:tcW w:w="120" w:type="dxa"/>
            <w:vAlign w:val="bottom"/>
            <w:shd w:val="clear" w:color="auto" w:fill="CFF0FC"/>
          </w:tcPr>
          <w:p>
            <w:pPr>
              <w:spacing w:after="0"/>
              <w:rPr>
                <w:sz w:val="17"/>
                <w:szCs w:val="17"/>
                <w:color w:val="auto"/>
              </w:rPr>
            </w:pPr>
          </w:p>
        </w:tc>
      </w:tr>
      <w:tr>
        <w:trPr>
          <w:trHeight w:val="216"/>
        </w:trPr>
        <w:tc>
          <w:tcPr>
            <w:tcW w:w="6480" w:type="dxa"/>
            <w:vAlign w:val="bottom"/>
          </w:tcPr>
          <w:p>
            <w:pPr>
              <w:ind w:left="260"/>
              <w:spacing w:after="0"/>
              <w:rPr>
                <w:sz w:val="20"/>
                <w:szCs w:val="20"/>
                <w:color w:val="auto"/>
              </w:rPr>
            </w:pPr>
            <w:r>
              <w:rPr>
                <w:rFonts w:ascii="Arial" w:cs="Arial" w:eastAsia="Arial" w:hAnsi="Arial"/>
                <w:sz w:val="18"/>
                <w:szCs w:val="18"/>
                <w:color w:val="auto"/>
              </w:rPr>
              <w:t>Repurchase of common stock</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r>
      <w:tr>
        <w:trPr>
          <w:trHeight w:val="209"/>
        </w:trPr>
        <w:tc>
          <w:tcPr>
            <w:tcW w:w="64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176,535</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64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208,149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13,319</w:t>
            </w:r>
          </w:p>
        </w:tc>
        <w:tc>
          <w:tcPr>
            <w:tcW w:w="12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27,842</w:t>
            </w:r>
          </w:p>
        </w:tc>
        <w:tc>
          <w:tcPr>
            <w:tcW w:w="120" w:type="dxa"/>
            <w:vAlign w:val="bottom"/>
            <w:shd w:val="clear" w:color="auto" w:fill="CFF0FC"/>
          </w:tcPr>
          <w:p>
            <w:pPr>
              <w:spacing w:after="0"/>
              <w:rPr>
                <w:sz w:val="18"/>
                <w:szCs w:val="18"/>
                <w:color w:val="auto"/>
              </w:rPr>
            </w:pPr>
          </w:p>
        </w:tc>
      </w:tr>
      <w:tr>
        <w:trPr>
          <w:trHeight w:val="256"/>
        </w:trPr>
        <w:tc>
          <w:tcPr>
            <w:tcW w:w="64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92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267,321</w:t>
            </w:r>
          </w:p>
        </w:tc>
        <w:tc>
          <w:tcPr>
            <w:tcW w:w="160" w:type="dxa"/>
            <w:vAlign w:val="bottom"/>
          </w:tcPr>
          <w:p>
            <w:pPr>
              <w:spacing w:after="0"/>
              <w:rPr>
                <w:sz w:val="22"/>
                <w:szCs w:val="22"/>
                <w:color w:val="auto"/>
              </w:rPr>
            </w:pPr>
          </w:p>
        </w:tc>
        <w:tc>
          <w:tcPr>
            <w:tcW w:w="132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41,161</w:t>
            </w:r>
          </w:p>
        </w:tc>
        <w:tc>
          <w:tcPr>
            <w:tcW w:w="120" w:type="dxa"/>
            <w:vAlign w:val="bottom"/>
          </w:tcPr>
          <w:p>
            <w:pPr>
              <w:spacing w:after="0"/>
              <w:rPr>
                <w:sz w:val="22"/>
                <w:szCs w:val="22"/>
                <w:color w:val="auto"/>
              </w:rPr>
            </w:pPr>
          </w:p>
        </w:tc>
      </w:tr>
      <w:tr>
        <w:trPr>
          <w:trHeight w:val="196"/>
        </w:trPr>
        <w:tc>
          <w:tcPr>
            <w:tcW w:w="64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Non-cash investing and financing activities:</w:t>
            </w:r>
          </w:p>
        </w:tc>
        <w:tc>
          <w:tcPr>
            <w:tcW w:w="74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5"/>
        </w:trPr>
        <w:tc>
          <w:tcPr>
            <w:tcW w:w="6480" w:type="dxa"/>
            <w:vAlign w:val="bottom"/>
          </w:tcPr>
          <w:p>
            <w:pPr>
              <w:ind w:left="260"/>
              <w:spacing w:after="0"/>
              <w:rPr>
                <w:sz w:val="20"/>
                <w:szCs w:val="20"/>
                <w:color w:val="auto"/>
              </w:rPr>
            </w:pPr>
            <w:r>
              <w:rPr>
                <w:rFonts w:ascii="Arial" w:cs="Arial" w:eastAsia="Arial" w:hAnsi="Arial"/>
                <w:sz w:val="18"/>
                <w:szCs w:val="18"/>
                <w:color w:val="auto"/>
              </w:rPr>
              <w:t>Net exercise of convertible preferred stock warrant to Series</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480" w:type="dxa"/>
            <w:vAlign w:val="bottom"/>
          </w:tcPr>
          <w:p>
            <w:pPr>
              <w:ind w:left="400"/>
              <w:spacing w:after="0" w:line="203" w:lineRule="exact"/>
              <w:rPr>
                <w:sz w:val="20"/>
                <w:szCs w:val="20"/>
                <w:color w:val="auto"/>
              </w:rPr>
            </w:pPr>
            <w:r>
              <w:rPr>
                <w:rFonts w:ascii="Arial" w:cs="Arial" w:eastAsia="Arial" w:hAnsi="Arial"/>
                <w:sz w:val="18"/>
                <w:szCs w:val="18"/>
                <w:color w:val="auto"/>
              </w:rPr>
              <w:t>A preferred stock</w:t>
            </w:r>
          </w:p>
        </w:tc>
        <w:tc>
          <w:tcPr>
            <w:tcW w:w="1920" w:type="dxa"/>
            <w:vAlign w:val="bottom"/>
            <w:gridSpan w:val="2"/>
          </w:tcPr>
          <w:p>
            <w:pPr>
              <w:jc w:val="right"/>
              <w:ind w:right="990"/>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198</w:t>
            </w:r>
          </w:p>
        </w:tc>
        <w:tc>
          <w:tcPr>
            <w:tcW w:w="160" w:type="dxa"/>
            <w:vAlign w:val="bottom"/>
          </w:tcPr>
          <w:p>
            <w:pPr>
              <w:spacing w:after="0"/>
              <w:rPr>
                <w:sz w:val="17"/>
                <w:szCs w:val="17"/>
                <w:color w:val="auto"/>
              </w:rPr>
            </w:pPr>
          </w:p>
        </w:tc>
        <w:tc>
          <w:tcPr>
            <w:tcW w:w="1320" w:type="dxa"/>
            <w:vAlign w:val="bottom"/>
            <w:gridSpan w:val="2"/>
          </w:tcPr>
          <w:p>
            <w:pPr>
              <w:jc w:val="right"/>
              <w:ind w:right="1100"/>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common stock from early exercises</w:t>
            </w: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FF0FC"/>
          </w:tcPr>
          <w:p>
            <w:pPr>
              <w:spacing w:after="0"/>
              <w:rPr>
                <w:sz w:val="18"/>
                <w:szCs w:val="18"/>
                <w:color w:val="auto"/>
              </w:rPr>
            </w:pPr>
          </w:p>
        </w:tc>
      </w:tr>
      <w:tr>
        <w:trPr>
          <w:trHeight w:val="215"/>
        </w:trPr>
        <w:tc>
          <w:tcPr>
            <w:tcW w:w="6480" w:type="dxa"/>
            <w:vAlign w:val="bottom"/>
          </w:tcPr>
          <w:p>
            <w:pPr>
              <w:ind w:left="260"/>
              <w:spacing w:after="0"/>
              <w:rPr>
                <w:sz w:val="20"/>
                <w:szCs w:val="20"/>
                <w:color w:val="auto"/>
              </w:rPr>
            </w:pPr>
            <w:r>
              <w:rPr>
                <w:rFonts w:ascii="Arial" w:cs="Arial" w:eastAsia="Arial" w:hAnsi="Arial"/>
                <w:sz w:val="18"/>
                <w:szCs w:val="18"/>
                <w:color w:val="auto"/>
              </w:rPr>
              <w:t>Cost of property and equipment in accounts payable and</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480" w:type="dxa"/>
            <w:vAlign w:val="bottom"/>
          </w:tcPr>
          <w:p>
            <w:pPr>
              <w:ind w:left="400"/>
              <w:spacing w:after="0" w:line="203" w:lineRule="exact"/>
              <w:rPr>
                <w:sz w:val="20"/>
                <w:szCs w:val="20"/>
                <w:color w:val="auto"/>
              </w:rPr>
            </w:pPr>
            <w:r>
              <w:rPr>
                <w:rFonts w:ascii="Arial" w:cs="Arial" w:eastAsia="Arial" w:hAnsi="Arial"/>
                <w:sz w:val="18"/>
                <w:szCs w:val="18"/>
                <w:color w:val="auto"/>
              </w:rPr>
              <w:t>accrued liabilities</w:t>
            </w: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456</w:t>
            </w:r>
          </w:p>
        </w:tc>
        <w:tc>
          <w:tcPr>
            <w:tcW w:w="120" w:type="dxa"/>
            <w:vAlign w:val="bottom"/>
          </w:tcPr>
          <w:p>
            <w:pPr>
              <w:spacing w:after="0"/>
              <w:rPr>
                <w:sz w:val="17"/>
                <w:szCs w:val="17"/>
                <w:color w:val="auto"/>
              </w:rPr>
            </w:pPr>
          </w:p>
        </w:tc>
      </w:tr>
      <w:tr>
        <w:trPr>
          <w:trHeight w:val="215"/>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IPO costs in accounts payable and accrued</w:t>
            </w: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4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liabilities</w:t>
            </w:r>
          </w:p>
        </w:tc>
        <w:tc>
          <w:tcPr>
            <w:tcW w:w="7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CONDSENSED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NGM Biopharmaceuticals, Inc. and its wholly-owned subsidiary (collectively referred to as the “Company”) is a research-driven, clinical-stage biopharmaceutical company committed to discovering and developing first-in-class therapeutics for major diseases with an initial focus on cardio-metabolic and liver diseases. The Company’s current portfolio is composed of seven product candidates (NGM282 (aldafermin), NGM313, NGM386, NGM395, NGM217, NGM120 and NGM621) focused on non-alcoholic steatohepatitis, or NASH, diabetes, obesity, oncology and age-related macular degeneration, or AMD.</w:t>
      </w:r>
    </w:p>
    <w:p>
      <w:pPr>
        <w:spacing w:after="0" w:line="206" w:lineRule="exact"/>
        <w:rPr>
          <w:sz w:val="20"/>
          <w:szCs w:val="20"/>
          <w:color w:val="auto"/>
        </w:rPr>
      </w:pPr>
    </w:p>
    <w:p>
      <w:pPr>
        <w:ind w:right="240" w:firstLine="518"/>
        <w:spacing w:after="0" w:line="245" w:lineRule="auto"/>
        <w:rPr>
          <w:sz w:val="20"/>
          <w:szCs w:val="20"/>
          <w:color w:val="auto"/>
        </w:rPr>
      </w:pPr>
      <w:r>
        <w:rPr>
          <w:rFonts w:ascii="Arial" w:cs="Arial" w:eastAsia="Arial" w:hAnsi="Arial"/>
          <w:sz w:val="18"/>
          <w:szCs w:val="18"/>
          <w:color w:val="auto"/>
        </w:rPr>
        <w:t>The Company was incorporated in Delaware on December 20, 2007 and its headquarters are located at 333 Oyster Point Blvd., South San Francisco, California 94080. The Company operates in one business segment.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25"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On March 22, 2019, the Company filed an amendment to the Company’s amended and restated certificate of incorporation to effect a reverse split of shares of the Company’s common stock on a two-for-one basis (the “Reverse Stock Split”). In connection with the Reverse Stock Split, the conversion ratio for the Company’s outstanding convertible preferred stock was proportionately adjusted such that the common stock issuable upon conversion of such preferred stock was decreased in proportion to the Reverse Stock Split. The par value of the common stock was not adjusted as a result of the Reverse Stock Split. All references to common stock, options to purchase common stock, early exercised options, share data, per share data, convertible preferred stock (to the extent presented on an as-converted to common stock basis) and related information contained in these condensed consolidated financial statements have been retrospectively adjusted to reflect the effect of the Reverse Stock Split for all periods presented.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5"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On April 3, 2019, the Company’s registration statement on Form S-1 was declared effective by the United States Securities and Exchange Commission (“SEC”) for its initial public offering (“IPO”) of its common stock. The Company’s shares of common stock started trading on the Nasdaq Select Global Market on April 4, 2019 and the transaction closed on April 8, 2019. In connection with the IPO, the Company sold an aggregate of 7,521,394 shares of common stock, which included 6,666,667 shares of common stock and 854,727 shares of common stock sold pursuant to the underwriters’ exercise of their option to purchase additional shares, at a public offering price of $16.00 per share. The aggregate net proceeds received by the Company from the offering were $107.8 million, net of underwriting discounts, commissions and offering expenses of $4.1 million, of which $2.3 million were paid in 2018. Upon the closing of the IPO, 47,283,839 shares of the Company’s outstanding convertible preferred stock were automatically converted to common stock on a 1:1 basis and the related carrying amount of $295.1 million was reclassified to common stock and additional paid-in capital within stockholders’ equity (deficit).</w:t>
      </w:r>
    </w:p>
    <w:p>
      <w:pPr>
        <w:spacing w:after="0" w:line="205" w:lineRule="exact"/>
        <w:rPr>
          <w:sz w:val="20"/>
          <w:szCs w:val="20"/>
          <w:color w:val="auto"/>
        </w:rPr>
      </w:pPr>
    </w:p>
    <w:p>
      <w:pPr>
        <w:ind w:right="300" w:firstLine="518"/>
        <w:spacing w:after="0"/>
        <w:rPr>
          <w:sz w:val="20"/>
          <w:szCs w:val="20"/>
          <w:color w:val="auto"/>
        </w:rPr>
      </w:pPr>
      <w:r>
        <w:rPr>
          <w:rFonts w:ascii="Arial" w:cs="Arial" w:eastAsia="Arial" w:hAnsi="Arial"/>
          <w:sz w:val="18"/>
          <w:szCs w:val="18"/>
          <w:color w:val="auto"/>
        </w:rPr>
        <w:t>Concurrent with the completion of the IPO, the Company also issued 4,121,683 shares of its common stock to Merck Sharp &amp; Dohme Corp. (“Merck”) in a private placement at a price of $16.00 per share for proceeds of $65.9 million, which resulted in Merck owning approximately 19.9% of the Company’s outstanding shares of common stock (Note 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25"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(“U.S. GAAP”) and Regulation S-X for interim consolidated financial information. These unaudited condensed consolidated financial statements should be read in conjunction with the audited consolidated financial statements and notes for the year ended December 31, 2018, included in the Company’s final prospectus filed with the SEC pursuant to Rule 424(b) under the Securities Act of 1933, as amended, on April 4, 2019 (“the Prospectus”). These unaudited condensed consolidated financial statements reflect all adjustments that management believes are necessary for a fair presentation of the periods presented. All such adjustments are of a normal recurring nature and are not necessarily indicative of results expected for the full fiscal year or for any subsequent interim period.</w:t>
      </w:r>
    </w:p>
    <w:p>
      <w:pPr>
        <w:spacing w:after="0" w:line="94" w:lineRule="exact"/>
        <w:rPr>
          <w:sz w:val="20"/>
          <w:szCs w:val="20"/>
          <w:color w:val="auto"/>
        </w:rPr>
      </w:pPr>
    </w:p>
    <w:p>
      <w:pPr>
        <w:ind w:right="140" w:firstLine="518"/>
        <w:spacing w:after="0" w:line="245" w:lineRule="auto"/>
        <w:rPr>
          <w:sz w:val="20"/>
          <w:szCs w:val="20"/>
          <w:color w:val="auto"/>
        </w:rPr>
      </w:pPr>
      <w:r>
        <w:rPr>
          <w:rFonts w:ascii="Arial" w:cs="Arial" w:eastAsia="Arial" w:hAnsi="Arial"/>
          <w:sz w:val="18"/>
          <w:szCs w:val="18"/>
          <w:color w:val="auto"/>
        </w:rPr>
        <w:t>These unaudited condensed consolidated financial statements include the consolidated accounts of the Company and its wholly-owned foreign subsidiary in Australia. All intercompany balances and transactions have been eliminated upon consolidation.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5" w:lineRule="exact"/>
        <w:rPr>
          <w:sz w:val="20"/>
          <w:szCs w:val="20"/>
          <w:color w:val="auto"/>
        </w:rPr>
      </w:pPr>
    </w:p>
    <w:p>
      <w:pPr>
        <w:ind w:right="200" w:firstLine="518"/>
        <w:spacing w:after="0" w:line="236"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research and development periods under multiple element agreements, the valuation of convertible preferred stock warrants, the fair value of convertible preferred and common stock, contract manufacturing accruals, clinical trial accruals and revenue in accordance with Accounting Standards Codification 606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inception, the Company has incurred net losses and negative cash flow from operations. During the three and six months ended</w:t>
      </w:r>
    </w:p>
    <w:p>
      <w:pPr>
        <w:spacing w:after="0" w:line="234" w:lineRule="auto"/>
        <w:rPr>
          <w:sz w:val="20"/>
          <w:szCs w:val="20"/>
          <w:color w:val="auto"/>
        </w:rPr>
      </w:pPr>
      <w:r>
        <w:rPr>
          <w:rFonts w:ascii="Arial" w:cs="Arial" w:eastAsia="Arial" w:hAnsi="Arial"/>
          <w:sz w:val="18"/>
          <w:szCs w:val="18"/>
          <w:color w:val="auto"/>
        </w:rPr>
        <w:t>June 30, 2019, the Company incurred net losses of $7.7 million and $15.9 million, respectively, compared to net losses of $3.2 million and $7.1</w:t>
      </w:r>
    </w:p>
    <w:p>
      <w:pPr>
        <w:spacing w:after="0" w:line="235" w:lineRule="auto"/>
        <w:rPr>
          <w:sz w:val="20"/>
          <w:szCs w:val="20"/>
          <w:color w:val="auto"/>
        </w:rPr>
      </w:pPr>
      <w:r>
        <w:rPr>
          <w:rFonts w:ascii="Arial" w:cs="Arial" w:eastAsia="Arial" w:hAnsi="Arial"/>
          <w:sz w:val="18"/>
          <w:szCs w:val="18"/>
          <w:color w:val="auto"/>
        </w:rPr>
        <w:t>million for the three and six months ended June 30, 2018, respectively. As of June 30, 2019, the Company had an accumulated deficit of</w:t>
      </w:r>
    </w:p>
    <w:p>
      <w:pPr>
        <w:spacing w:after="0" w:line="234" w:lineRule="auto"/>
        <w:rPr>
          <w:sz w:val="20"/>
          <w:szCs w:val="20"/>
          <w:color w:val="auto"/>
        </w:rPr>
      </w:pPr>
      <w:r>
        <w:rPr>
          <w:rFonts w:ascii="Arial" w:cs="Arial" w:eastAsia="Arial" w:hAnsi="Arial"/>
          <w:sz w:val="18"/>
          <w:szCs w:val="18"/>
          <w:color w:val="auto"/>
        </w:rPr>
        <w:t>$169.3 million and does not expect to experience positive cash flows from operations in the near future. The Company had $362.2 million of</w:t>
      </w:r>
    </w:p>
    <w:p>
      <w:pPr>
        <w:spacing w:after="0" w:line="235" w:lineRule="auto"/>
        <w:rPr>
          <w:sz w:val="20"/>
          <w:szCs w:val="20"/>
          <w:color w:val="auto"/>
        </w:rPr>
      </w:pPr>
      <w:r>
        <w:rPr>
          <w:rFonts w:ascii="Arial" w:cs="Arial" w:eastAsia="Arial" w:hAnsi="Arial"/>
          <w:sz w:val="18"/>
          <w:szCs w:val="18"/>
          <w:color w:val="auto"/>
        </w:rPr>
        <w:t>cash, cash equivalents and marketable securities as of June 30, 2019, and therefore the Company expects that its cash and cash equivalents</w:t>
      </w:r>
    </w:p>
    <w:p>
      <w:pPr>
        <w:spacing w:after="0" w:line="235" w:lineRule="auto"/>
        <w:rPr>
          <w:sz w:val="20"/>
          <w:szCs w:val="20"/>
          <w:color w:val="auto"/>
        </w:rPr>
      </w:pPr>
      <w:r>
        <w:rPr>
          <w:rFonts w:ascii="Arial" w:cs="Arial" w:eastAsia="Arial" w:hAnsi="Arial"/>
          <w:sz w:val="18"/>
          <w:szCs w:val="18"/>
          <w:color w:val="auto"/>
        </w:rPr>
        <w:t>and marketable securities will be sufficient to fund its operations for a period of at least one year from the date these unaudited condensed</w:t>
      </w:r>
    </w:p>
    <w:p>
      <w:pPr>
        <w:spacing w:after="0"/>
        <w:rPr>
          <w:sz w:val="20"/>
          <w:szCs w:val="20"/>
          <w:color w:val="auto"/>
        </w:rPr>
      </w:pPr>
      <w:r>
        <w:rPr>
          <w:rFonts w:ascii="Arial" w:cs="Arial" w:eastAsia="Arial" w:hAnsi="Arial"/>
          <w:sz w:val="17"/>
          <w:szCs w:val="17"/>
          <w:color w:val="auto"/>
        </w:rPr>
        <w:t>consolidated financial statements are filed with the SEC. To fully implement the Company’s business plan and fund its operations, the Company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may raise capital through the issuance of equity securities or debt financings, collaborations, strategic alliances and licensing arrangements,</w:t>
      </w:r>
    </w:p>
    <w:p>
      <w:pPr>
        <w:spacing w:after="0"/>
        <w:rPr>
          <w:sz w:val="20"/>
          <w:szCs w:val="20"/>
          <w:color w:val="auto"/>
        </w:rPr>
      </w:pPr>
      <w:r>
        <w:rPr>
          <w:rFonts w:ascii="Arial" w:cs="Arial" w:eastAsia="Arial" w:hAnsi="Arial"/>
          <w:sz w:val="18"/>
          <w:szCs w:val="18"/>
          <w:color w:val="auto"/>
        </w:rPr>
        <w:t>government or other third-party funding or a combination of these.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25" w:lineRule="exact"/>
        <w:rPr>
          <w:sz w:val="20"/>
          <w:szCs w:val="20"/>
          <w:color w:val="auto"/>
        </w:rPr>
      </w:pPr>
    </w:p>
    <w:p>
      <w:pPr>
        <w:jc w:val="both"/>
        <w:ind w:right="280" w:firstLine="518"/>
        <w:spacing w:after="0"/>
        <w:rPr>
          <w:sz w:val="20"/>
          <w:szCs w:val="20"/>
          <w:color w:val="auto"/>
        </w:rPr>
      </w:pPr>
      <w:r>
        <w:rPr>
          <w:rFonts w:ascii="Arial" w:cs="Arial" w:eastAsia="Arial" w:hAnsi="Arial"/>
          <w:sz w:val="18"/>
          <w:szCs w:val="18"/>
          <w:color w:val="auto"/>
        </w:rPr>
        <w:t>Costs incurred in connection with the IPO primarily consisted of direct incremental legal, printing and accounting fees. IPO costs were capitalized as incurred and offset against proceeds upon completion of the IPO. As of June 30, 2019 and December 31, 2018, deferred IPO costs included on the accompanying condensed consolidated balance sheets were zero and $2.3 million,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carrying amounts of cash and cash equivalents, the related party receivables from collaboration and other current assets and liabilities approximate their respective fair values because of the short-term nature of those instruments. Fair value accounting is applied to the convertible preferred stock warrant liabilities that are recorded at their estimated fair value in the condensed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5"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Cash and cash equivalents are stated at fair value. Cash equivalents are related to securities having an original maturity of three months or less at the time of purchase. The Company limits its credit risk associated with cash and cash equivalents by placing its investments with a bank it believes is highly creditworthy and with highly rated money market funds. As of June 30, 2019 and December 31, 2018, cash and cash equivalents consisted of bank deposits and investments in money market funds.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5"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short-term marketable securities or long-term marketable securities. Unrealized gains and losses on available-for-sale securities are excluded from net loss and reported in accumulated other comprehensive loss as a separate component of stockholders’ equity (deficit).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10" w:name="page11"/>
    <w:bookmarkEnd w:id="10"/>
    <w:p>
      <w:pPr>
        <w:ind w:right="280" w:firstLine="518"/>
        <w:spacing w:after="0" w:line="237" w:lineRule="auto"/>
        <w:rPr>
          <w:sz w:val="20"/>
          <w:szCs w:val="20"/>
          <w:color w:val="auto"/>
        </w:rPr>
      </w:pPr>
      <w:r>
        <w:rPr>
          <w:rFonts w:ascii="Arial" w:cs="Arial" w:eastAsia="Arial" w:hAnsi="Arial"/>
          <w:sz w:val="18"/>
          <w:szCs w:val="18"/>
          <w:color w:val="auto"/>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5"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The Company’s restricted cash represents collateral in connection with the lease on the Company’s headquarters entered into in 2015 and is classified as a non-current asset on the condensed consolidated balance sheets as the collateral will not be returned to the Company in less than 12 months (Note 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25"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Cash and cash equivalents and marketable securities from the Company’s available-for-sale and marketable security portfolio potentially subject the Company to concentrations of credit risk. The Company is invested in money market funds and marketable securities through custodial relationships with major U.S. and Australian banks. Under its investment policy, the Company limits amounts invested in such securities by credit rating, maturity, industry group, investment type and issuer, except for securities issued by the U.S. government.</w:t>
      </w:r>
    </w:p>
    <w:p>
      <w:pPr>
        <w:spacing w:after="0" w:line="204" w:lineRule="exact"/>
        <w:rPr>
          <w:sz w:val="20"/>
          <w:szCs w:val="20"/>
          <w:color w:val="auto"/>
        </w:rPr>
      </w:pPr>
    </w:p>
    <w:p>
      <w:pPr>
        <w:jc w:val="both"/>
        <w:ind w:right="300" w:firstLine="518"/>
        <w:spacing w:after="0"/>
        <w:rPr>
          <w:sz w:val="20"/>
          <w:szCs w:val="20"/>
          <w:color w:val="auto"/>
        </w:rPr>
      </w:pPr>
      <w:r>
        <w:rPr>
          <w:rFonts w:ascii="Arial" w:cs="Arial" w:eastAsia="Arial" w:hAnsi="Arial"/>
          <w:sz w:val="18"/>
          <w:szCs w:val="18"/>
          <w:color w:val="auto"/>
        </w:rPr>
        <w:t>Related party receivables from collaborations (Notes 5 and 6) are typically unsecured. Accordingly, the Company may be exposed to credit risk generally associated with its current collaboration agreement (“Collaboration Agreement”) with Merck and any future collaboration agreements with other collaboration partners. To date, the Company has not experienced any losses related to these receivables.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Merck accounted for 100% of the Company’s revenue for the three and six months ended June 30, 2019 and 2018.</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5" w:lineRule="exact"/>
        <w:rPr>
          <w:sz w:val="20"/>
          <w:szCs w:val="20"/>
          <w:color w:val="auto"/>
        </w:rPr>
      </w:pPr>
    </w:p>
    <w:p>
      <w:pPr>
        <w:jc w:val="both"/>
        <w:ind w:right="20" w:firstLine="518"/>
        <w:spacing w:after="0" w:line="238"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charged to expense as incurred. Costs that improve assets or extend their economic lives are capitalized. Depreciation is recognized using the straight-line method based on an estimated useful life of the asset, which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5900" w:type="dxa"/>
            <w:vAlign w:val="bottom"/>
            <w:shd w:val="clear" w:color="auto" w:fill="CFF0FC"/>
          </w:tcPr>
          <w:p>
            <w:pPr>
              <w:ind w:left="2220"/>
              <w:spacing w:after="0"/>
              <w:rPr>
                <w:sz w:val="20"/>
                <w:szCs w:val="20"/>
                <w:color w:val="auto"/>
              </w:rPr>
            </w:pPr>
            <w:r>
              <w:rPr>
                <w:rFonts w:ascii="Arial" w:cs="Arial" w:eastAsia="Arial" w:hAnsi="Arial"/>
                <w:sz w:val="18"/>
                <w:szCs w:val="18"/>
                <w:color w:val="auto"/>
              </w:rPr>
              <w:t>3 years</w:t>
            </w:r>
          </w:p>
        </w:tc>
      </w:tr>
      <w:tr>
        <w:trPr>
          <w:trHeight w:val="202"/>
        </w:trPr>
        <w:tc>
          <w:tcPr>
            <w:tcW w:w="552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5900" w:type="dxa"/>
            <w:vAlign w:val="bottom"/>
          </w:tcPr>
          <w:p>
            <w:pPr>
              <w:ind w:left="2220"/>
              <w:spacing w:after="0" w:line="202" w:lineRule="exact"/>
              <w:rPr>
                <w:sz w:val="20"/>
                <w:szCs w:val="20"/>
                <w:color w:val="auto"/>
              </w:rPr>
            </w:pPr>
            <w:r>
              <w:rPr>
                <w:rFonts w:ascii="Arial" w:cs="Arial" w:eastAsia="Arial" w:hAnsi="Arial"/>
                <w:sz w:val="18"/>
                <w:szCs w:val="18"/>
                <w:color w:val="auto"/>
              </w:rPr>
              <w:t>3 years</w:t>
            </w:r>
          </w:p>
        </w:tc>
      </w:tr>
      <w:tr>
        <w:trPr>
          <w:trHeight w:val="202"/>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w:t>
            </w:r>
          </w:p>
        </w:tc>
        <w:tc>
          <w:tcPr>
            <w:tcW w:w="5900" w:type="dxa"/>
            <w:vAlign w:val="bottom"/>
            <w:shd w:val="clear" w:color="auto" w:fill="CFF0FC"/>
          </w:tcPr>
          <w:p>
            <w:pPr>
              <w:ind w:left="2220"/>
              <w:spacing w:after="0" w:line="202" w:lineRule="exact"/>
              <w:rPr>
                <w:sz w:val="20"/>
                <w:szCs w:val="20"/>
                <w:color w:val="auto"/>
              </w:rPr>
            </w:pPr>
            <w:r>
              <w:rPr>
                <w:rFonts w:ascii="Arial" w:cs="Arial" w:eastAsia="Arial" w:hAnsi="Arial"/>
                <w:sz w:val="18"/>
                <w:szCs w:val="18"/>
                <w:color w:val="auto"/>
              </w:rPr>
              <w:t>Shorter of life of asset or lease term</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25" w:lineRule="exact"/>
        <w:rPr>
          <w:sz w:val="20"/>
          <w:szCs w:val="20"/>
          <w:color w:val="auto"/>
        </w:rPr>
      </w:pPr>
    </w:p>
    <w:p>
      <w:pPr>
        <w:jc w:val="both"/>
        <w:ind w:firstLine="518"/>
        <w:spacing w:after="0" w:line="238" w:lineRule="auto"/>
        <w:rPr>
          <w:sz w:val="20"/>
          <w:szCs w:val="20"/>
          <w:color w:val="auto"/>
        </w:rPr>
      </w:pPr>
      <w:r>
        <w:rPr>
          <w:rFonts w:ascii="Arial" w:cs="Arial" w:eastAsia="Arial" w:hAnsi="Arial"/>
          <w:sz w:val="18"/>
          <w:szCs w:val="18"/>
          <w:color w:val="auto"/>
        </w:rPr>
        <w:t>The Company’s lease agreement for its laboratory and office facilities are classified as operating leases. Rent expense is recognized on a straight-line basis over the term of the lease. Incentives granted under the Company’s facilities leases, including allowances to fund leasehold improvements and rent holidays, are capitalized and are recognized as reductions to rental expense on a straight-line basis over the term of the lease.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5"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June 30, 2019 and December 31, 2018, no revision to the remaining useful lives or write-down of long-lived assets was required.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5"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w:t>
      </w:r>
    </w:p>
    <w:p>
      <w:pPr>
        <w:spacing w:after="0" w:line="12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Freestanding warrants to purchase the Company’s convertible preferred stock were classified as a liability on the condensed consolidated balance sheet at December 31, 2018 as the underlying shares of convertible preferred stock were contingently redeemable, which could have obligated the Company to transfer assets at some point in the future to settle the warrants. The convertible preferred stock warrants are recorded as a liability and subject to remeasurement at each balance sheet date, with changes in estimated fair value recorded in the Company’s consolidated statements of operations as a component of total other income (expense), net. On February 3, 2019, all convertible preferred stock warrants were automatically exercised on a net basis into 16,380 shares of Series A convertible preferred stock at a fair value of $0.2 million. As of June 30, 2019, there were no convertible preferred stock warrants outstanding.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On January 1, 2019, the Company adopted Accounting Standards Update (“ASU”) 2014-09, Revenue from Contracts with Customers, and subsequent amendments (ASC 606), using the modified retrospective transition method applied to those contracts that were not completed as of January 1, 2019. ASC 606 supersedes all prior revenue recognition guidance. Results for operating periods beginning after January 1, 2019 are presented under ASC 606, while prior period amounts have not been adjusted and continue to be reported in accordance with previous accounting rules under Accounting Standards Codification Topic 605, Revenue Recognition (“ASC 605”).</w:t>
      </w:r>
    </w:p>
    <w:p>
      <w:pPr>
        <w:spacing w:after="0" w:line="206" w:lineRule="exact"/>
        <w:rPr>
          <w:sz w:val="20"/>
          <w:szCs w:val="20"/>
          <w:color w:val="auto"/>
        </w:rPr>
      </w:pPr>
    </w:p>
    <w:p>
      <w:pPr>
        <w:ind w:right="100" w:firstLine="518"/>
        <w:spacing w:after="0" w:line="248" w:lineRule="auto"/>
        <w:rPr>
          <w:sz w:val="20"/>
          <w:szCs w:val="20"/>
          <w:color w:val="auto"/>
        </w:rPr>
      </w:pPr>
      <w:r>
        <w:rPr>
          <w:rFonts w:ascii="Arial" w:cs="Arial" w:eastAsia="Arial" w:hAnsi="Arial"/>
          <w:sz w:val="17"/>
          <w:szCs w:val="17"/>
          <w:color w:val="auto"/>
        </w:rPr>
        <w:t>The core principle in ASC 606 requires an entity to recognize revenue upon the transfer of goods or services to customers in an amount that reflects the consideration to which the entity expects to be entitled in exchange for those goods or services. The Company applies the following five-step revenue recognition model outlined in ASC 606 to adhere to this core principle: (1) identify the contract(s) with a customer;</w:t>
      </w:r>
    </w:p>
    <w:p>
      <w:pPr>
        <w:spacing w:after="0" w:line="1" w:lineRule="exact"/>
        <w:rPr>
          <w:sz w:val="20"/>
          <w:szCs w:val="20"/>
          <w:color w:val="auto"/>
        </w:rPr>
      </w:pPr>
    </w:p>
    <w:p>
      <w:pPr>
        <w:ind w:right="40" w:firstLine="8"/>
        <w:spacing w:after="0" w:line="245"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198"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All of the Company’s revenue to date has been generated from its collaboration agreements. The terms of these agreements generally require the Company to provide (i) license options for its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206"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Company assesses whether the promises in its arrangements, including any options provided to the customer, are considered distinct performance obligations that should be accounted for separately. Judgment is required to determine whether the license to a compound is distinct from research and development services or participation in steering committees, as well as whether options create material rights in the contract.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12" w:name="page13"/>
    <w:bookmarkEnd w:id="12"/>
    <w:p>
      <w:pPr>
        <w:ind w:right="20" w:firstLine="518"/>
        <w:spacing w:after="0" w:line="236"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variable consideration related to the performance of research and development services. The Company typically submits a budget for the research and development services to the customer in advance of performing the services. The transaction price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205"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regulatory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customer’s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 -evaluates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21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Prior to the adoption of ASC 606, the Company’s revenue from collaboration agreements was recognized when the Company determined that persuasive evidence of an arrangement exists, services had been rendered, the price was fixed or determinable and collectability was reasonably assured. The Company would record amounts received prior to satisfying the above revenue recognition criteria as deferred revenue until all applicable revenue recognition criteria were met. Revenue allocated to research activities was generally recognized in the period the services were performed, and revenue allocated to licenses was generally recognized on a straight-line basis over the contractual term. Allocations to non-contingent elements were based on the relative selling price of each element using vendor-specific objective evidence or third-party evidence, where available. In the absence of either of these measures, the Company used the best estimate of selling price for that deliverable.</w:t>
      </w:r>
    </w:p>
    <w:p>
      <w:pPr>
        <w:spacing w:after="0" w:line="206"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The most significant change to the Company’s policies upon the adoption of ASC 606 is the estimation of an arrangement’s total transaction price, which would include any variable consideration and the recognition of that transaction price based on a cost-based input method that requires significant estimates to determine, at each reporting period, the percentage of completion based on the estimated total effort required to complete the project and the total transaction price. Given the differences in revenue recognition policies, the revenue recognized in prior years is not strictly comparable to revenue recorded in the quarter ending June 30, 2019 or in future periods (see Recently Adopted Accounting Pronouncements).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5"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06"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Company’s stock-based compensation programs include stock options and shares that will be issued under the Company’s 2019 Employee Stock Purchase Plan ("ESPP"). Stock-based compensation to employees is valued on the grant date of each award using the Black-Scholes option-pricing model, and its estimated fair value is recognized over the period during which the employee is required to provide service in exchange for the award, which is generally the vesting period of each award. Subsequent to the adoption of ASU 2018-07, Stock Compensation (Topic 718): Improvements to Nonemployee Share-Based Payment Accounting, stock-based compensation expense for non - employee stock-based awards is also measured based on the fair value on grant date with its estimated fair value recorded over the period for which the non-employee is required to provide service in exchange for the award. As non-cash stock-based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25" w:lineRule="exact"/>
        <w:rPr>
          <w:sz w:val="20"/>
          <w:szCs w:val="20"/>
          <w:color w:val="auto"/>
        </w:rPr>
      </w:pPr>
    </w:p>
    <w:p>
      <w:pPr>
        <w:ind w:right="220" w:firstLine="518"/>
        <w:spacing w:after="0" w:line="237" w:lineRule="auto"/>
        <w:rPr>
          <w:sz w:val="20"/>
          <w:szCs w:val="20"/>
          <w:color w:val="auto"/>
        </w:rPr>
      </w:pPr>
      <w:r>
        <w:rPr>
          <w:rFonts w:ascii="Arial" w:cs="Arial" w:eastAsia="Arial" w:hAnsi="Arial"/>
          <w:sz w:val="18"/>
          <w:szCs w:val="18"/>
          <w:color w:val="auto"/>
        </w:rPr>
        <w:t>The functional currency of NGM Biopharmaceuticals Australia Pty Ltd., a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net on the condensed consolidated statements of operations.</w:t>
      </w:r>
    </w:p>
    <w:p>
      <w:pPr>
        <w:spacing w:after="0" w:line="206"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and the Euro. Payments on contracts denominated in foreign currencies are made at the spot rate on the day of payment. Changes in the exchange rate between billing dates and payment dates are recorded within other income (expense), net on the condensed consolidated statements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5"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Comprehensive loss is comprised of net loss and certain changes in equity that are excluded from net loss. For the three and six months ended June 30, 2019, the difference between comprehensive loss and net loss consisted of changes in net unrealized gain on marketable securities of $0.1 million and $ 0.4 million, respectively. The difference between comprehensive loss and net loss included changes in net unrealized gain on marketable securities of $0.2 million and net unrealized loss on marketable securities of $0.1 million for the three and six months ended June 30, 2018,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25"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Basic net loss per common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potentially dilutive common shares, including common stock issuable upon exercise of stock options, and unvested restricted common stock and stock units. As the Company had net losses for the three and six months ended June 30, 2019 and 2018, all potential common shares were determined to be anti-dilutive.</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share and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5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(7,669)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(3,200)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(15,937)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Denominator:</w:t>
            </w:r>
          </w:p>
        </w:tc>
        <w:tc>
          <w:tcPr>
            <w:tcW w:w="8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80" w:type="dxa"/>
            <w:vAlign w:val="bottom"/>
          </w:tcPr>
          <w:p>
            <w:pPr>
              <w:ind w:left="260"/>
              <w:spacing w:after="0"/>
              <w:rPr>
                <w:sz w:val="20"/>
                <w:szCs w:val="20"/>
                <w:color w:val="auto"/>
              </w:rPr>
            </w:pPr>
            <w:r>
              <w:rPr>
                <w:rFonts w:ascii="Arial" w:cs="Arial" w:eastAsia="Arial" w:hAnsi="Arial"/>
                <w:sz w:val="18"/>
                <w:szCs w:val="18"/>
                <w:color w:val="auto"/>
              </w:rPr>
              <w:t>Weighted-average number of common shares used in</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FF0FC"/>
            </w:tcBorders>
          </w:tcPr>
          <w:p>
            <w:pPr>
              <w:ind w:left="260"/>
              <w:spacing w:after="0" w:line="203" w:lineRule="exact"/>
              <w:rPr>
                <w:sz w:val="20"/>
                <w:szCs w:val="20"/>
                <w:color w:val="auto"/>
              </w:rPr>
            </w:pPr>
            <w:r>
              <w:rPr>
                <w:rFonts w:ascii="Arial" w:cs="Arial" w:eastAsia="Arial" w:hAnsi="Arial"/>
                <w:sz w:val="18"/>
                <w:szCs w:val="18"/>
                <w:color w:val="auto"/>
              </w:rPr>
              <w:t>calculating net income per share—basic and diluted</w:t>
            </w:r>
          </w:p>
        </w:tc>
        <w:tc>
          <w:tcPr>
            <w:tcW w:w="8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61,044,450</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6,200,143</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34,078,099</w:t>
            </w:r>
          </w:p>
        </w:tc>
        <w:tc>
          <w:tcPr>
            <w:tcW w:w="2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6,163,425</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10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(0.13)</w:t>
            </w:r>
          </w:p>
        </w:tc>
        <w:tc>
          <w:tcPr>
            <w:tcW w:w="3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(0.52)</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(0.47)</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08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14" w:name="page15"/>
    <w:bookmarkEnd w:id="14"/>
    <w:p>
      <w:pPr>
        <w:ind w:right="80" w:firstLine="518"/>
        <w:spacing w:after="0" w:line="245" w:lineRule="auto"/>
        <w:rPr>
          <w:sz w:val="20"/>
          <w:szCs w:val="20"/>
          <w:color w:val="auto"/>
        </w:rPr>
      </w:pPr>
      <w:r>
        <w:rPr>
          <w:rFonts w:ascii="Arial" w:cs="Arial" w:eastAsia="Arial" w:hAnsi="Arial"/>
          <w:sz w:val="18"/>
          <w:szCs w:val="18"/>
          <w:color w:val="auto"/>
        </w:rPr>
        <w:t>Potential gross dilutive securities that were not included in the diluted per share calculations because they would be anti-dilutive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80" w:type="dxa"/>
            <w:vAlign w:val="bottom"/>
          </w:tcPr>
          <w:p>
            <w:pPr>
              <w:spacing w:after="0"/>
              <w:rPr>
                <w:sz w:val="19"/>
                <w:szCs w:val="19"/>
                <w:color w:val="auto"/>
              </w:rPr>
            </w:pPr>
          </w:p>
        </w:tc>
        <w:tc>
          <w:tcPr>
            <w:tcW w:w="224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78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09"/>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2240" w:type="dxa"/>
            <w:vAlign w:val="bottom"/>
            <w:gridSpan w:val="3"/>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47,267,466</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11,417,124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9,699,102</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convertible preferred stock</w:t>
            </w:r>
          </w:p>
        </w:tc>
        <w:tc>
          <w:tcPr>
            <w:tcW w:w="2240" w:type="dxa"/>
            <w:vAlign w:val="bottom"/>
            <w:gridSpan w:val="3"/>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19,637</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Shares committed under ESPP</w:t>
            </w:r>
          </w:p>
        </w:tc>
        <w:tc>
          <w:tcPr>
            <w:tcW w:w="1560" w:type="dxa"/>
            <w:vAlign w:val="bottom"/>
          </w:tcPr>
          <w:p>
            <w:pPr>
              <w:jc w:val="right"/>
              <w:spacing w:after="0"/>
              <w:rPr>
                <w:sz w:val="20"/>
                <w:szCs w:val="20"/>
                <w:color w:val="auto"/>
              </w:rPr>
            </w:pPr>
            <w:r>
              <w:rPr>
                <w:rFonts w:ascii="Arial" w:cs="Arial" w:eastAsia="Arial" w:hAnsi="Arial"/>
                <w:sz w:val="18"/>
                <w:szCs w:val="18"/>
                <w:color w:val="auto"/>
              </w:rPr>
              <w:t>406,200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11,823,324</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56,986,205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25" w:lineRule="exact"/>
        <w:rPr>
          <w:sz w:val="20"/>
          <w:szCs w:val="20"/>
          <w:color w:val="auto"/>
        </w:rPr>
      </w:pPr>
    </w:p>
    <w:p>
      <w:pPr>
        <w:ind w:right="160" w:firstLine="518"/>
        <w:spacing w:after="0"/>
        <w:rPr>
          <w:sz w:val="20"/>
          <w:szCs w:val="20"/>
          <w:color w:val="auto"/>
        </w:rPr>
      </w:pPr>
      <w:r>
        <w:rPr>
          <w:rFonts w:ascii="Arial" w:cs="Arial" w:eastAsia="Arial" w:hAnsi="Arial"/>
          <w:sz w:val="18"/>
          <w:szCs w:val="18"/>
          <w:color w:val="auto"/>
        </w:rPr>
        <w:t>The Company operates in one segment. Substantially all of the Company’s long-lived assets are based in the United States. Long-lived assets are primarily comprised of property and equipment. For the three and six months ended June 30, 2019 and 2018, the Company’s revenues were entirely within the United States based upon the location of the customers.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5" w:lineRule="exact"/>
        <w:rPr>
          <w:sz w:val="20"/>
          <w:szCs w:val="20"/>
          <w:color w:val="auto"/>
        </w:rPr>
      </w:pPr>
    </w:p>
    <w:p>
      <w:pPr>
        <w:ind w:right="60" w:firstLine="518"/>
        <w:spacing w:after="0" w:line="254"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 setting bodies and adopted by us as of the specified effective date. Unless otherwise discussed, the impact of recently issued standards that are not yet effective will not have a material impact on our condensed consolidated financial statements upon adoption. Under the Jumpstart Our Business Startups Act of 2012, as amended (the JOBS Act), we meet the definition of an emerging growth company, and have elected the extended transition period for complying with new or revised accounting standards pursuant to Section 107(b) of the JOBS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33"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In June 2018, the FASB issued ASU 2018-07, Compensation – Stock Compensation (Topic 718): Improvements to Non-Employee Share-Based Payment Accounting as part of the FASB simplification initiative. The new standard expands the scope of Topic 718, allowing the Company to apply the requirements of Topic 718 to certain non-employee awards issued in exchange for the acquisition of goods and services from non-employees. ASU 2018-07 is intended to supersede Subtopic 505-50, Equity-Based Payments to Non-Employees and is effective for the Company for fiscal years beginning after December 15, 2019. Effective January 1, 2019, the Company early adopted this ASU using the modified retrospective transition method in which all previously issued equity-classified share-based payment awards to non-employees were remeasured at fair value as of the adoption date. Newly issued equity-classified share-based payments awards to non-employees are measured at fair value as of grant date. The adoption of this ASU did not have a material impact on the Company’s condensed consolidated financial statements.</w:t>
      </w:r>
    </w:p>
    <w:p>
      <w:pPr>
        <w:spacing w:after="0" w:line="205"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November 2016, the FASB issued ASU 2016-18, Statement of Cash Flows (Topic 230) – Restricted Cash,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elected to early adopt this ASU using the retrospective transition method to each period presented having no effect within the classification of its condensed consolidated statements of cash flows due to there being no changes in the Company’s restricted cash balances for any of the years presented.</w:t>
      </w:r>
    </w:p>
    <w:p>
      <w:pPr>
        <w:spacing w:after="0" w:line="20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May 2014, the FASB issued ASU 2014-09, Revenue from Contracts with Customers (ASC 606), which requires an entity to recognize the amount of revenue to which it expects to be entitled for the transfer of promised goods or services to customers. ASU 2014-09 replaced existing revenue recognition guidance and permits the use of either the full retrospective or modified retrospective transition method. Additionally, in March 2016, the FASB issued ASU 2016-08, Revenue from Contracts with Customers (ASC 606): Principal versus Agent Considerations (Reporting Revenue Gross versus Net), which clarifies the implementation guidance on principal versus agent considerations in ASU 2014-09. In April 2016, the FASB issued ASU 2016-10, Revenue from Contracts with Customers (ASC 606): Identifying Performance Obligations and Licensing, which clarifies certain aspects of identifying performance obligations and licensing implementation guidance. In May 2016, the FASB issued ASU 2016-12, Revenue from Contracts with Customers (ASC 606): Narrow-Scope Improvements and Practical Expedients, which relates to disclosures of remaining performance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5" w:name="page16"/>
    <w:bookmarkEnd w:id="15"/>
    <w:p>
      <w:pPr>
        <w:jc w:val="both"/>
        <w:ind w:right="160"/>
        <w:spacing w:after="0"/>
        <w:rPr>
          <w:sz w:val="20"/>
          <w:szCs w:val="20"/>
          <w:color w:val="auto"/>
        </w:rPr>
      </w:pPr>
      <w:r>
        <w:rPr>
          <w:rFonts w:ascii="Arial" w:cs="Arial" w:eastAsia="Arial" w:hAnsi="Arial"/>
          <w:sz w:val="18"/>
          <w:szCs w:val="18"/>
          <w:color w:val="auto"/>
        </w:rPr>
        <w:t>obligations, as well as other amendments to guidance on collectability, non-cash consideration and the presentation of sales and other similar taxes collected from customers. For the Company, these standards (collectively, ASC 606) have the same effective date and transition date of January 1, 2019.</w:t>
      </w:r>
    </w:p>
    <w:p>
      <w:pPr>
        <w:spacing w:after="0" w:line="202"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Company adopted ASC 606 on January 1, 2019, using the modified retrospective transition method and, therefore, evaluated its contract with Merck under ASC 606. The Company recorded adjustments upon the adoption of ASC 606 as a result of the Company concluding that licenses and research and development services promised in the agreement are a single combined performance obligation. This determination impacts the timing of recognition of both the non-refundable upfront fee and the payments related to the services. Under previous guidance, the upfront fee was recognized ratably over the contract term, and fees related to the services were recognized in the period the services were performed. Under ASC 606, revenue for the single performance obligation is recognized over time using a cost-based input method to measure progress toward completion of the single combined performance obligation. The adoption of ASC 606 impacted the Company’s contract liabilities and accumulated deficit balance as of January 1, 2019 as follows (in thousands):</w:t>
      </w: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3"/>
          </w:tcPr>
          <w:p>
            <w:pPr>
              <w:jc w:val="center"/>
              <w:ind w:right="180"/>
              <w:spacing w:after="0" w:line="184" w:lineRule="exact"/>
              <w:rPr>
                <w:sz w:val="20"/>
                <w:szCs w:val="20"/>
                <w:color w:val="auto"/>
              </w:rPr>
            </w:pPr>
            <w:r>
              <w:rPr>
                <w:rFonts w:ascii="Arial" w:cs="Arial" w:eastAsia="Arial" w:hAnsi="Arial"/>
                <w:sz w:val="18"/>
                <w:szCs w:val="18"/>
                <w:b w:val="1"/>
                <w:bCs w:val="1"/>
                <w:color w:val="auto"/>
                <w:w w:val="99"/>
              </w:rPr>
              <w:t>Adjustments due to</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2"/>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December 31,</w:t>
            </w:r>
          </w:p>
        </w:tc>
        <w:tc>
          <w:tcPr>
            <w:tcW w:w="202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the Adoption of ASC</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5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606</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January 1, 2019</w:t>
            </w:r>
          </w:p>
        </w:tc>
        <w:tc>
          <w:tcPr>
            <w:tcW w:w="120" w:type="dxa"/>
            <w:vAlign w:val="bottom"/>
            <w:tcBorders>
              <w:bottom w:val="single" w:sz="8" w:color="CFF0FC"/>
            </w:tcBorders>
          </w:tcPr>
          <w:p>
            <w:pPr>
              <w:spacing w:after="0"/>
              <w:rPr>
                <w:sz w:val="19"/>
                <w:szCs w:val="19"/>
                <w:color w:val="auto"/>
              </w:rPr>
            </w:pPr>
          </w:p>
        </w:tc>
      </w:tr>
      <w:tr>
        <w:trPr>
          <w:trHeight w:val="20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19,025</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5,171</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24,196</w:t>
            </w: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3,942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(147,193)</w:t>
            </w:r>
          </w:p>
        </w:tc>
        <w:tc>
          <w:tcPr>
            <w:tcW w:w="4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(6,156)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(153,349)</w:t>
            </w:r>
          </w:p>
        </w:tc>
      </w:tr>
    </w:tbl>
    <w:p>
      <w:pPr>
        <w:spacing w:after="0" w:line="215" w:lineRule="exact"/>
        <w:rPr>
          <w:sz w:val="20"/>
          <w:szCs w:val="20"/>
          <w:color w:val="auto"/>
        </w:rPr>
      </w:pPr>
    </w:p>
    <w:p>
      <w:pPr>
        <w:ind w:right="440" w:firstLine="518"/>
        <w:spacing w:after="0" w:line="245" w:lineRule="auto"/>
        <w:rPr>
          <w:sz w:val="20"/>
          <w:szCs w:val="20"/>
          <w:color w:val="auto"/>
        </w:rPr>
      </w:pPr>
      <w:r>
        <w:rPr>
          <w:rFonts w:ascii="Arial" w:cs="Arial" w:eastAsia="Arial" w:hAnsi="Arial"/>
          <w:sz w:val="18"/>
          <w:szCs w:val="18"/>
          <w:color w:val="auto"/>
        </w:rPr>
        <w:t>The impact of the adoption of ASC 606 on the condensed consolidated balance sheet as of June 30, 2019, condensed consolidated statement of operations and cash flows for the six months ended June 30, 2019 was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9"/>
              </w:rPr>
              <w:t>June 30, 2019</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6"/>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2"/>
          </w:tcPr>
          <w:p>
            <w:pPr>
              <w:jc w:val="center"/>
              <w:ind w:right="520"/>
              <w:spacing w:after="0" w:line="187" w:lineRule="exact"/>
              <w:rPr>
                <w:sz w:val="20"/>
                <w:szCs w:val="20"/>
                <w:color w:val="auto"/>
              </w:rPr>
            </w:pPr>
            <w:r>
              <w:rPr>
                <w:rFonts w:ascii="Arial" w:cs="Arial" w:eastAsia="Arial" w:hAnsi="Arial"/>
                <w:sz w:val="18"/>
                <w:szCs w:val="18"/>
                <w:b w:val="1"/>
                <w:bCs w:val="1"/>
                <w:color w:val="auto"/>
              </w:rPr>
              <w:t>Amount Under</w:t>
            </w: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center"/>
              <w:ind w:right="130"/>
              <w:spacing w:after="0" w:line="187" w:lineRule="exact"/>
              <w:rPr>
                <w:sz w:val="20"/>
                <w:szCs w:val="20"/>
                <w:color w:val="auto"/>
              </w:rPr>
            </w:pPr>
            <w:r>
              <w:rPr>
                <w:rFonts w:ascii="Arial" w:cs="Arial" w:eastAsia="Arial" w:hAnsi="Arial"/>
                <w:sz w:val="18"/>
                <w:szCs w:val="18"/>
                <w:b w:val="1"/>
                <w:bCs w:val="1"/>
                <w:color w:val="auto"/>
                <w:w w:val="99"/>
              </w:rPr>
              <w:t>As Reported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ASC 605</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Adjustments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Under ASC 606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4,154</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(165,132)</w:t>
            </w:r>
          </w:p>
        </w:tc>
        <w:tc>
          <w:tcPr>
            <w:tcW w:w="22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(4,154)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(169,286)</w:t>
            </w:r>
          </w:p>
        </w:tc>
        <w:tc>
          <w:tcPr>
            <w:tcW w:w="20" w:type="dxa"/>
            <w:vAlign w:val="bottom"/>
          </w:tcPr>
          <w:p>
            <w:pPr>
              <w:spacing w:after="0"/>
              <w:rPr>
                <w:sz w:val="19"/>
                <w:szCs w:val="19"/>
                <w:color w:val="auto"/>
              </w:rPr>
            </w:pPr>
          </w:p>
        </w:tc>
      </w:tr>
      <w:tr>
        <w:trPr>
          <w:trHeight w:val="459"/>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6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9"/>
              </w:rPr>
              <w:t>Three Months Ended June 30, 2019</w:t>
            </w:r>
          </w:p>
        </w:tc>
        <w:tc>
          <w:tcPr>
            <w:tcW w:w="20" w:type="dxa"/>
            <w:vAlign w:val="bottom"/>
          </w:tcPr>
          <w:p>
            <w:pPr>
              <w:spacing w:after="0"/>
              <w:rPr>
                <w:sz w:val="24"/>
                <w:szCs w:val="24"/>
                <w:color w:val="auto"/>
              </w:rPr>
            </w:pPr>
          </w:p>
        </w:tc>
      </w:tr>
      <w:tr>
        <w:trPr>
          <w:trHeight w:val="186"/>
        </w:trPr>
        <w:tc>
          <w:tcPr>
            <w:tcW w:w="5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2"/>
          </w:tcPr>
          <w:p>
            <w:pPr>
              <w:jc w:val="center"/>
              <w:ind w:right="520"/>
              <w:spacing w:after="0" w:line="187" w:lineRule="exact"/>
              <w:rPr>
                <w:sz w:val="20"/>
                <w:szCs w:val="20"/>
                <w:color w:val="auto"/>
              </w:rPr>
            </w:pPr>
            <w:r>
              <w:rPr>
                <w:rFonts w:ascii="Arial" w:cs="Arial" w:eastAsia="Arial" w:hAnsi="Arial"/>
                <w:sz w:val="18"/>
                <w:szCs w:val="18"/>
                <w:b w:val="1"/>
                <w:bCs w:val="1"/>
                <w:color w:val="auto"/>
              </w:rPr>
              <w:t>Amount Under</w:t>
            </w:r>
          </w:p>
        </w:tc>
        <w:tc>
          <w:tcPr>
            <w:tcW w:w="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center"/>
              <w:ind w:right="130"/>
              <w:spacing w:after="0" w:line="187" w:lineRule="exact"/>
              <w:rPr>
                <w:sz w:val="20"/>
                <w:szCs w:val="20"/>
                <w:color w:val="auto"/>
              </w:rPr>
            </w:pPr>
            <w:r>
              <w:rPr>
                <w:rFonts w:ascii="Arial" w:cs="Arial" w:eastAsia="Arial" w:hAnsi="Arial"/>
                <w:sz w:val="18"/>
                <w:szCs w:val="18"/>
                <w:b w:val="1"/>
                <w:bCs w:val="1"/>
                <w:color w:val="auto"/>
                <w:w w:val="99"/>
              </w:rPr>
              <w:t>As Reported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ASC 605</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Adjustments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Under ASC 606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(10,717)</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(9,707)</w:t>
            </w:r>
          </w:p>
        </w:tc>
        <w:tc>
          <w:tcPr>
            <w:tcW w:w="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(8,679)</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(7,669)</w:t>
            </w:r>
          </w:p>
        </w:tc>
        <w:tc>
          <w:tcPr>
            <w:tcW w:w="20" w:type="dxa"/>
            <w:vAlign w:val="bottom"/>
          </w:tcPr>
          <w:p>
            <w:pPr>
              <w:spacing w:after="0"/>
              <w:rPr>
                <w:sz w:val="18"/>
                <w:szCs w:val="18"/>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9"/>
                <w:szCs w:val="19"/>
                <w:color w:val="auto"/>
              </w:rPr>
            </w:pPr>
          </w:p>
        </w:tc>
      </w:tr>
      <w:tr>
        <w:trPr>
          <w:trHeight w:val="418"/>
        </w:trPr>
        <w:tc>
          <w:tcPr>
            <w:tcW w:w="5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7"/>
          </w:tcPr>
          <w:p>
            <w:pPr>
              <w:jc w:val="center"/>
              <w:ind w:left="1350"/>
              <w:spacing w:after="0"/>
              <w:rPr>
                <w:sz w:val="20"/>
                <w:szCs w:val="20"/>
                <w:color w:val="auto"/>
              </w:rPr>
            </w:pPr>
            <w:r>
              <w:rPr>
                <w:rFonts w:ascii="Arial" w:cs="Arial" w:eastAsia="Arial" w:hAnsi="Arial"/>
                <w:sz w:val="18"/>
                <w:szCs w:val="18"/>
                <w:b w:val="1"/>
                <w:bCs w:val="1"/>
                <w:color w:val="auto"/>
                <w:w w:val="99"/>
              </w:rPr>
              <w:t>Six Months Ended June 30, 2019</w:t>
            </w:r>
          </w:p>
        </w:tc>
        <w:tc>
          <w:tcPr>
            <w:tcW w:w="1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2"/>
          </w:tcPr>
          <w:p>
            <w:pPr>
              <w:jc w:val="center"/>
              <w:ind w:right="520"/>
              <w:spacing w:after="0" w:line="187" w:lineRule="exact"/>
              <w:rPr>
                <w:sz w:val="20"/>
                <w:szCs w:val="20"/>
                <w:color w:val="auto"/>
              </w:rPr>
            </w:pPr>
            <w:r>
              <w:rPr>
                <w:rFonts w:ascii="Arial" w:cs="Arial" w:eastAsia="Arial" w:hAnsi="Arial"/>
                <w:sz w:val="18"/>
                <w:szCs w:val="18"/>
                <w:b w:val="1"/>
                <w:bCs w:val="1"/>
                <w:color w:val="auto"/>
              </w:rPr>
              <w:t>Amount Under</w:t>
            </w: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center"/>
              <w:ind w:right="130"/>
              <w:spacing w:after="0" w:line="187" w:lineRule="exact"/>
              <w:rPr>
                <w:sz w:val="20"/>
                <w:szCs w:val="20"/>
                <w:color w:val="auto"/>
              </w:rPr>
            </w:pPr>
            <w:r>
              <w:rPr>
                <w:rFonts w:ascii="Arial" w:cs="Arial" w:eastAsia="Arial" w:hAnsi="Arial"/>
                <w:sz w:val="18"/>
                <w:szCs w:val="18"/>
                <w:b w:val="1"/>
                <w:bCs w:val="1"/>
                <w:color w:val="auto"/>
                <w:w w:val="99"/>
              </w:rPr>
              <w:t>As Reported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ASC 605</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Adjustments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Under ASC 606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48,891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50,893</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(21,051)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2,002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(19,049)</w:t>
            </w:r>
          </w:p>
        </w:tc>
        <w:tc>
          <w:tcPr>
            <w:tcW w:w="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(17,939)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(15,937)</w:t>
            </w:r>
          </w:p>
        </w:tc>
        <w:tc>
          <w:tcPr>
            <w:tcW w:w="20" w:type="dxa"/>
            <w:vAlign w:val="bottom"/>
          </w:tcPr>
          <w:p>
            <w:pPr>
              <w:spacing w:after="0"/>
              <w:rPr>
                <w:sz w:val="18"/>
                <w:szCs w:val="18"/>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(0.47)</w:t>
            </w:r>
          </w:p>
        </w:tc>
        <w:tc>
          <w:tcPr>
            <w:tcW w:w="20" w:type="dxa"/>
            <w:vAlign w:val="bottom"/>
          </w:tcPr>
          <w:p>
            <w:pPr>
              <w:spacing w:after="0"/>
              <w:rPr>
                <w:sz w:val="19"/>
                <w:szCs w:val="19"/>
                <w:color w:val="auto"/>
              </w:rPr>
            </w:pPr>
          </w:p>
        </w:tc>
      </w:tr>
      <w:tr>
        <w:trPr>
          <w:trHeight w:val="445"/>
        </w:trPr>
        <w:tc>
          <w:tcPr>
            <w:tcW w:w="5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7"/>
          </w:tcPr>
          <w:p>
            <w:pPr>
              <w:jc w:val="center"/>
              <w:ind w:left="1350"/>
              <w:spacing w:after="0"/>
              <w:rPr>
                <w:sz w:val="20"/>
                <w:szCs w:val="20"/>
                <w:color w:val="auto"/>
              </w:rPr>
            </w:pPr>
            <w:r>
              <w:rPr>
                <w:rFonts w:ascii="Arial" w:cs="Arial" w:eastAsia="Arial" w:hAnsi="Arial"/>
                <w:sz w:val="18"/>
                <w:szCs w:val="18"/>
                <w:b w:val="1"/>
                <w:bCs w:val="1"/>
                <w:color w:val="auto"/>
                <w:w w:val="99"/>
              </w:rPr>
              <w:t>Six Months Ended June 30, 2019</w:t>
            </w:r>
          </w:p>
        </w:tc>
        <w:tc>
          <w:tcPr>
            <w:tcW w:w="1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2"/>
          </w:tcPr>
          <w:p>
            <w:pPr>
              <w:jc w:val="center"/>
              <w:ind w:right="520"/>
              <w:spacing w:after="0" w:line="187" w:lineRule="exact"/>
              <w:rPr>
                <w:sz w:val="20"/>
                <w:szCs w:val="20"/>
                <w:color w:val="auto"/>
              </w:rPr>
            </w:pPr>
            <w:r>
              <w:rPr>
                <w:rFonts w:ascii="Arial" w:cs="Arial" w:eastAsia="Arial" w:hAnsi="Arial"/>
                <w:sz w:val="18"/>
                <w:szCs w:val="18"/>
                <w:b w:val="1"/>
                <w:bCs w:val="1"/>
                <w:color w:val="auto"/>
              </w:rPr>
              <w:t>Amount Under</w:t>
            </w: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center"/>
              <w:ind w:right="130"/>
              <w:spacing w:after="0" w:line="187" w:lineRule="exact"/>
              <w:rPr>
                <w:sz w:val="20"/>
                <w:szCs w:val="20"/>
                <w:color w:val="auto"/>
              </w:rPr>
            </w:pPr>
            <w:r>
              <w:rPr>
                <w:rFonts w:ascii="Arial" w:cs="Arial" w:eastAsia="Arial" w:hAnsi="Arial"/>
                <w:sz w:val="18"/>
                <w:szCs w:val="18"/>
                <w:b w:val="1"/>
                <w:bCs w:val="1"/>
                <w:color w:val="auto"/>
                <w:w w:val="99"/>
              </w:rPr>
              <w:t>As Reported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ASC 605</w:t>
            </w:r>
          </w:p>
        </w:tc>
        <w:tc>
          <w:tcPr>
            <w:tcW w:w="220" w:type="dxa"/>
            <w:vAlign w:val="bottom"/>
          </w:tcPr>
          <w:p>
            <w:pPr>
              <w:spacing w:after="0"/>
              <w:rPr>
                <w:sz w:val="19"/>
                <w:szCs w:val="19"/>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Adjustments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Under ASC 606</w:t>
            </w:r>
          </w:p>
        </w:tc>
        <w:tc>
          <w:tcPr>
            <w:tcW w:w="20" w:type="dxa"/>
            <w:vAlign w:val="bottom"/>
          </w:tcPr>
          <w:p>
            <w:pPr>
              <w:spacing w:after="0"/>
              <w:rPr>
                <w:sz w:val="19"/>
                <w:szCs w:val="19"/>
                <w:color w:val="auto"/>
              </w:rPr>
            </w:pPr>
          </w:p>
        </w:tc>
      </w:tr>
      <w:tr>
        <w:trPr>
          <w:trHeight w:val="209"/>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(17,939)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2,002</w:t>
            </w:r>
          </w:p>
        </w:tc>
        <w:tc>
          <w:tcPr>
            <w:tcW w:w="1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(15,937)</w:t>
            </w:r>
          </w:p>
        </w:tc>
        <w:tc>
          <w:tcPr>
            <w:tcW w:w="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(9,680)</w:t>
            </w:r>
          </w:p>
        </w:tc>
        <w:tc>
          <w:tcPr>
            <w:tcW w:w="22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(2,002)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(11,682)</w:t>
            </w:r>
          </w:p>
        </w:tc>
        <w:tc>
          <w:tcPr>
            <w:tcW w:w="20" w:type="dxa"/>
            <w:vAlign w:val="bottom"/>
          </w:tcPr>
          <w:p>
            <w:pPr>
              <w:spacing w:after="0"/>
              <w:rPr>
                <w:sz w:val="19"/>
                <w:szCs w:val="19"/>
                <w:color w:val="auto"/>
              </w:rPr>
            </w:pPr>
          </w:p>
        </w:tc>
      </w:tr>
      <w:tr>
        <w:trPr>
          <w:trHeight w:val="418"/>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109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5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25"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In February 2016, the FASB issued ASU 2016-02, Leases (Topic 842), which increases lease transparency and comparability among organizations. Under the new standard, lessees will be required to recognize all assets and liabilities arising from leases on the balance sheet, with the exception of leases with a term of 12 months or less, which permits a lessee to make an accounting policy election by class of underlying asset not to recognize lease assets and liabilities. In March 2018, the FASB approved an alternative transition method to the modified retrospective approach, which eliminates the requirement to restate prior period financial statements and allows the cumulative effect of the retrospective allocation to be recorded as an adjustment to the opening balance of retained earnings at the date of adoption. The Company is currently assessing the timing of adoption and the impact that the adoption of ASU 2016-02 will have on its condensed consolidated financial statements and related disclosures.</w:t>
      </w:r>
    </w:p>
    <w:p>
      <w:pPr>
        <w:spacing w:after="0" w:line="206"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In August 2018, the FASB issued ASU 2018-13, Fair Value Measurements (Topic 820): Disclosure Framework – Changes to the Disclosure Requirements for Fair Value Measurement as part of the FASB’s disclosure framework project. This ASU modifies the disclosure requirements on fair value measurements in Topic 820, Fair Value Measurement by removing the requirement to disclose amounts of and reasons for transfers between Level 1 and Level 2 of the fair value hierarchy, the policy for timing of transfers between levels and the valuation process for Level 3 fair value measurements. This ASU also modifies existing disclosure requirements by clarifying that the measurement uncertainty disclosure is to communicate information about the uncertainty in measurement as of the reporting date, and it adds required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This ASU will be effective for the Company for fiscal years and interim periods within those fiscal years, beginning after December 15, 2019. The Company is currently assessing the impact of this ASU on its condensed consolidated financial statements.</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November 2018, the FASB issued ASU 2018-18, Collaborative Arrangements (ASC 808): Clarifying the Interaction between ASC 808 and ASC 606, which clarifies that certain transactions between collaborative arrangement participants should be accounted for as revenue under ASC 606 when then collaborative arrangement participant is a customer in the context of a unit of account. In those situations, all the guidance in ASC 606 should be applied, including recognition, measurement, presentation and disclosure requirements. This ASU adds unit-of-account guidance in ASC 808 to align with the guidance in ASC 606 (that is, a distinct good or service) when an entity is assessing whether the collaborative arrangement or a part of the arrangement is within the scope of ASC 606, and requires that in a transaction with a collaborative arrangement participant that is not directly related to sales to third parties, presenting the transaction together with revenue recognized under ASC 606 is precluded if the collaborative arrangement participant is not a customer. This ASU will be effective for the Company for fiscal years beginning after December 15, 2020, and interim periods within fiscal years beginning after December 15, 2021. The Company is currently assessing the impact of this ASU on its condensed consolidated financial statements.</w:t>
      </w:r>
    </w:p>
    <w:p>
      <w:pPr>
        <w:spacing w:after="0" w:line="204"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The new guidance amended guidance on reporting credit losses for assets held at amortized cost basis and available-for-sale debt securities. For available-for-sale debt securities, credit losses will be presented as an allowance rather than as a write-down. This standard is effective for the Company’s fiscal year beginning after December 31, 2020. Early adoption is permitted for all entities. The Company is currently assessing the timing of adoption and the impact that the adoption of ASU 2016-13 will have on its condensed consolidated financial statements and related disclosures.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5"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receivable from collaboration, related party 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condensed consolidated financial statements.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0" w:right="259" w:bottom="1440" w:gutter="0" w:footer="0" w:header="0"/>
        </w:sectPr>
      </w:pPr>
    </w:p>
    <w:bookmarkStart w:id="17" w:name="page18"/>
    <w:bookmarkEnd w:id="17"/>
    <w:p>
      <w:pPr>
        <w:ind w:right="20" w:firstLine="518"/>
        <w:spacing w:after="0" w:line="237" w:lineRule="auto"/>
        <w:rPr>
          <w:sz w:val="20"/>
          <w:szCs w:val="20"/>
          <w:color w:val="auto"/>
        </w:rPr>
      </w:pPr>
      <w:r>
        <w:rPr>
          <w:rFonts w:ascii="Arial" w:cs="Arial" w:eastAsia="Arial" w:hAnsi="Arial"/>
          <w:sz w:val="18"/>
          <w:szCs w:val="18"/>
          <w:color w:val="auto"/>
        </w:rPr>
        <w:t>The FASB has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80"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103" w:lineRule="exact"/>
        <w:rPr>
          <w:sz w:val="20"/>
          <w:szCs w:val="20"/>
          <w:color w:val="auto"/>
        </w:rPr>
      </w:pPr>
    </w:p>
    <w:p>
      <w:pPr>
        <w:ind w:left="780" w:right="60" w:hanging="240"/>
        <w:spacing w:after="0"/>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94" w:lineRule="exact"/>
        <w:rPr>
          <w:sz w:val="20"/>
          <w:szCs w:val="20"/>
          <w:color w:val="auto"/>
        </w:rPr>
      </w:pPr>
    </w:p>
    <w:p>
      <w:pPr>
        <w:ind w:left="780" w:right="240" w:hanging="240"/>
        <w:spacing w:after="0" w:line="24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16" w:lineRule="exact"/>
        <w:rPr>
          <w:sz w:val="20"/>
          <w:szCs w:val="20"/>
          <w:color w:val="auto"/>
        </w:rPr>
      </w:pPr>
    </w:p>
    <w:p>
      <w:pPr>
        <w:jc w:val="both"/>
        <w:ind w:right="240" w:firstLine="518"/>
        <w:spacing w:after="0"/>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02"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To date, the Company has not recorded any impairment charges on marketable securities other-than-temporary declines in market value.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204"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6" w:lineRule="exact"/>
        <w:rPr>
          <w:sz w:val="20"/>
          <w:szCs w:val="20"/>
          <w:color w:val="auto"/>
        </w:rPr>
      </w:pPr>
    </w:p>
    <w:p>
      <w:pPr>
        <w:ind w:right="40" w:firstLine="518"/>
        <w:spacing w:after="0" w:line="242" w:lineRule="auto"/>
        <w:rPr>
          <w:sz w:val="20"/>
          <w:szCs w:val="20"/>
          <w:color w:val="auto"/>
        </w:rPr>
      </w:pPr>
      <w:r>
        <w:rPr>
          <w:rFonts w:ascii="Arial" w:cs="Arial" w:eastAsia="Arial" w:hAnsi="Arial"/>
          <w:sz w:val="18"/>
          <w:szCs w:val="18"/>
          <w:color w:val="auto"/>
        </w:rPr>
        <w:t>Cash and cash equivalents and marketable securities, all of which are classified as available-for-sale securities consisted of the following (in thousands):</w:t>
      </w: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99"/>
              </w:rPr>
              <w:t>Gross</w:t>
            </w:r>
          </w:p>
        </w:tc>
        <w:tc>
          <w:tcPr>
            <w:tcW w:w="120" w:type="dxa"/>
            <w:vAlign w:val="bottom"/>
          </w:tcPr>
          <w:p>
            <w:pPr>
              <w:spacing w:after="0"/>
              <w:rPr>
                <w:sz w:val="15"/>
                <w:szCs w:val="15"/>
                <w:color w:val="auto"/>
              </w:rPr>
            </w:pPr>
          </w:p>
        </w:tc>
        <w:tc>
          <w:tcPr>
            <w:tcW w:w="1300" w:type="dxa"/>
            <w:vAlign w:val="bottom"/>
            <w:gridSpan w:val="2"/>
          </w:tcPr>
          <w:p>
            <w:pPr>
              <w:jc w:val="center"/>
              <w:ind w:right="380"/>
              <w:spacing w:after="0" w:line="181" w:lineRule="exact"/>
              <w:rPr>
                <w:sz w:val="20"/>
                <w:szCs w:val="20"/>
                <w:color w:val="auto"/>
              </w:rPr>
            </w:pPr>
            <w:r>
              <w:rPr>
                <w:rFonts w:ascii="Arial" w:cs="Arial" w:eastAsia="Arial" w:hAnsi="Arial"/>
                <w:sz w:val="18"/>
                <w:szCs w:val="18"/>
                <w:b w:val="1"/>
                <w:bCs w:val="1"/>
                <w:color w:val="auto"/>
                <w:w w:val="99"/>
              </w:rPr>
              <w:t>Gross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7"/>
              </w:rPr>
              <w:t>Amortized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Unrealized</w:t>
            </w:r>
          </w:p>
        </w:tc>
        <w:tc>
          <w:tcPr>
            <w:tcW w:w="120" w:type="dxa"/>
            <w:vAlign w:val="bottom"/>
          </w:tcPr>
          <w:p>
            <w:pPr>
              <w:spacing w:after="0"/>
              <w:rPr>
                <w:sz w:val="17"/>
                <w:szCs w:val="17"/>
                <w:color w:val="auto"/>
              </w:rPr>
            </w:pPr>
          </w:p>
        </w:tc>
        <w:tc>
          <w:tcPr>
            <w:tcW w:w="13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7"/>
                <w:szCs w:val="17"/>
                <w:color w:val="auto"/>
              </w:rPr>
            </w:pPr>
          </w:p>
        </w:tc>
        <w:tc>
          <w:tcPr>
            <w:tcW w:w="10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6"/>
              </w:rPr>
              <w:t>Fair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Gain</w:t>
            </w:r>
          </w:p>
        </w:tc>
        <w:tc>
          <w:tcPr>
            <w:tcW w:w="12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June 30, 2019</w:t>
            </w:r>
          </w:p>
        </w:tc>
        <w:tc>
          <w:tcPr>
            <w:tcW w:w="1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Money market funds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265,326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265,326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52,453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52,521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paper</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 securities</w:t>
            </w:r>
          </w:p>
        </w:tc>
        <w:tc>
          <w:tcPr>
            <w:tcW w:w="1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31,896</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31,930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00" w:type="dxa"/>
            <w:vAlign w:val="bottom"/>
          </w:tcPr>
          <w:p>
            <w:pPr>
              <w:ind w:left="740"/>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362,340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362,442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Classified as:</w:t>
            </w:r>
          </w:p>
        </w:tc>
        <w:tc>
          <w:tcPr>
            <w:tcW w:w="1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265,326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marketable securities (amortized</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cost of $97,014)</w:t>
            </w: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97,116</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740"/>
              <w:spacing w:after="0" w:line="195" w:lineRule="exact"/>
              <w:rPr>
                <w:sz w:val="20"/>
                <w:szCs w:val="20"/>
                <w:color w:val="auto"/>
              </w:rPr>
            </w:pPr>
            <w:r>
              <w:rPr>
                <w:rFonts w:ascii="Arial" w:cs="Arial" w:eastAsia="Arial" w:hAnsi="Arial"/>
                <w:sz w:val="18"/>
                <w:szCs w:val="18"/>
                <w:color w:val="auto"/>
              </w:rPr>
              <w:t>Total cash equivalents and marketable</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900"/>
              <w:spacing w:after="0" w:line="203" w:lineRule="exact"/>
              <w:rPr>
                <w:sz w:val="20"/>
                <w:szCs w:val="20"/>
                <w:color w:val="auto"/>
              </w:rPr>
            </w:pPr>
            <w:r>
              <w:rPr>
                <w:rFonts w:ascii="Arial" w:cs="Arial" w:eastAsia="Arial" w:hAnsi="Arial"/>
                <w:sz w:val="18"/>
                <w:szCs w:val="18"/>
                <w:color w:val="auto"/>
              </w:rPr>
              <w:t>securities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362,442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Gross</w:t>
            </w:r>
          </w:p>
        </w:tc>
        <w:tc>
          <w:tcPr>
            <w:tcW w:w="12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Gross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7"/>
              </w:rPr>
              <w:t>Amortized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Unrealized</w:t>
            </w:r>
          </w:p>
        </w:tc>
        <w:tc>
          <w:tcPr>
            <w:tcW w:w="120" w:type="dxa"/>
            <w:vAlign w:val="bottom"/>
          </w:tcPr>
          <w:p>
            <w:pPr>
              <w:spacing w:after="0"/>
              <w:rPr>
                <w:sz w:val="17"/>
                <w:szCs w:val="17"/>
                <w:color w:val="auto"/>
              </w:rPr>
            </w:pPr>
          </w:p>
        </w:tc>
        <w:tc>
          <w:tcPr>
            <w:tcW w:w="13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7"/>
                <w:szCs w:val="17"/>
                <w:color w:val="auto"/>
              </w:rPr>
            </w:pPr>
          </w:p>
        </w:tc>
        <w:tc>
          <w:tcPr>
            <w:tcW w:w="10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6"/>
              </w:rPr>
              <w:t>Fair</w:t>
            </w:r>
          </w:p>
        </w:tc>
      </w:tr>
      <w:tr>
        <w:trPr>
          <w:trHeight w:val="225"/>
        </w:trPr>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Gain</w:t>
            </w:r>
          </w:p>
        </w:tc>
        <w:tc>
          <w:tcPr>
            <w:tcW w:w="12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Value</w:t>
            </w:r>
          </w:p>
        </w:tc>
      </w:tr>
      <w:tr>
        <w:trPr>
          <w:trHeight w:val="209"/>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2018</w:t>
            </w: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34,983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68,323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68,082</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17,904</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 securities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63,751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63,725</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20" w:type="dxa"/>
            <w:vAlign w:val="bottom"/>
          </w:tcPr>
          <w:p>
            <w:pPr>
              <w:ind w:left="7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184,961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184,694</w:t>
            </w:r>
          </w:p>
        </w:tc>
        <w:tc>
          <w:tcPr>
            <w:tcW w:w="100" w:type="dxa"/>
            <w:vAlign w:val="bottom"/>
          </w:tcPr>
          <w:p>
            <w:pPr>
              <w:spacing w:after="0"/>
              <w:rPr>
                <w:sz w:val="21"/>
                <w:szCs w:val="21"/>
                <w:color w:val="auto"/>
              </w:rPr>
            </w:pPr>
          </w:p>
        </w:tc>
      </w:tr>
      <w:tr>
        <w:trPr>
          <w:trHeight w:val="196"/>
        </w:trPr>
        <w:tc>
          <w:tcPr>
            <w:tcW w:w="59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Classified as:</w:t>
            </w: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34,984</w:t>
            </w:r>
          </w:p>
        </w:tc>
        <w:tc>
          <w:tcPr>
            <w:tcW w:w="100" w:type="dxa"/>
            <w:vAlign w:val="bottom"/>
          </w:tcPr>
          <w:p>
            <w:pPr>
              <w:spacing w:after="0"/>
              <w:rPr>
                <w:sz w:val="18"/>
                <w:szCs w:val="18"/>
                <w:color w:val="auto"/>
              </w:rPr>
            </w:pPr>
          </w:p>
        </w:tc>
      </w:tr>
      <w:tr>
        <w:trPr>
          <w:trHeight w:val="215"/>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marketable securities (amortized</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9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cost of $149,978)</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149,710</w:t>
            </w:r>
          </w:p>
        </w:tc>
        <w:tc>
          <w:tcPr>
            <w:tcW w:w="100" w:type="dxa"/>
            <w:vAlign w:val="bottom"/>
            <w:shd w:val="clear" w:color="auto" w:fill="CFF0FC"/>
          </w:tcPr>
          <w:p>
            <w:pPr>
              <w:spacing w:after="0"/>
              <w:rPr>
                <w:sz w:val="17"/>
                <w:szCs w:val="17"/>
                <w:color w:val="auto"/>
              </w:rPr>
            </w:pPr>
          </w:p>
        </w:tc>
      </w:tr>
      <w:tr>
        <w:trPr>
          <w:trHeight w:val="195"/>
        </w:trPr>
        <w:tc>
          <w:tcPr>
            <w:tcW w:w="5920" w:type="dxa"/>
            <w:vAlign w:val="bottom"/>
          </w:tcPr>
          <w:p>
            <w:pPr>
              <w:ind w:left="740"/>
              <w:spacing w:after="0" w:line="195" w:lineRule="exact"/>
              <w:rPr>
                <w:sz w:val="20"/>
                <w:szCs w:val="20"/>
                <w:color w:val="auto"/>
              </w:rPr>
            </w:pPr>
            <w:r>
              <w:rPr>
                <w:rFonts w:ascii="Arial" w:cs="Arial" w:eastAsia="Arial" w:hAnsi="Arial"/>
                <w:sz w:val="18"/>
                <w:szCs w:val="18"/>
                <w:color w:val="auto"/>
              </w:rPr>
              <w:t>Total cash equivalents and marketable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920" w:type="dxa"/>
            <w:vAlign w:val="bottom"/>
          </w:tcPr>
          <w:p>
            <w:pPr>
              <w:ind w:left="900"/>
              <w:spacing w:after="0" w:line="203" w:lineRule="exact"/>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184,694</w:t>
            </w:r>
          </w:p>
        </w:tc>
        <w:tc>
          <w:tcPr>
            <w:tcW w:w="100" w:type="dxa"/>
            <w:vAlign w:val="bottom"/>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8"/>
        <w:spacing w:after="0" w:line="245" w:lineRule="auto"/>
        <w:rPr>
          <w:sz w:val="20"/>
          <w:szCs w:val="20"/>
          <w:color w:val="auto"/>
        </w:rPr>
      </w:pPr>
      <w:r>
        <w:rPr>
          <w:rFonts w:ascii="Arial" w:cs="Arial" w:eastAsia="Arial" w:hAnsi="Arial"/>
          <w:sz w:val="18"/>
          <w:szCs w:val="18"/>
          <w:color w:val="auto"/>
        </w:rPr>
        <w:t>Cash and cash equivalents in the table above excludes payments in transit of $0.3 million as of June 30, 2019 and cash on deposit with banks of $21.9 million as of December 31, 2018.</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2019 and December 31, 2018, the Company’s marketable securities had remaining contractual maturities less than one</w:t>
      </w:r>
    </w:p>
    <w:p>
      <w:pPr>
        <w:spacing w:after="0"/>
        <w:rPr>
          <w:sz w:val="20"/>
          <w:szCs w:val="20"/>
          <w:color w:val="auto"/>
        </w:rPr>
      </w:pPr>
      <w:r>
        <w:rPr>
          <w:rFonts w:ascii="Arial" w:cs="Arial" w:eastAsia="Arial" w:hAnsi="Arial"/>
          <w:sz w:val="18"/>
          <w:szCs w:val="18"/>
          <w:color w:val="auto"/>
        </w:rPr>
        <w:t>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25" w:lineRule="exact"/>
        <w:rPr>
          <w:sz w:val="20"/>
          <w:szCs w:val="20"/>
          <w:color w:val="auto"/>
        </w:rPr>
      </w:pPr>
    </w:p>
    <w:p>
      <w:pPr>
        <w:ind w:right="20" w:firstLine="518"/>
        <w:spacing w:after="0" w:line="245" w:lineRule="auto"/>
        <w:rPr>
          <w:sz w:val="20"/>
          <w:szCs w:val="20"/>
          <w:color w:val="auto"/>
        </w:rPr>
      </w:pPr>
      <w:r>
        <w:rPr>
          <w:rFonts w:ascii="Arial" w:cs="Arial" w:eastAsia="Arial" w:hAnsi="Arial"/>
          <w:sz w:val="18"/>
          <w:szCs w:val="18"/>
          <w:color w:val="auto"/>
        </w:rPr>
        <w:t>The following table sets forth the estimated fair value of the Company’s financial assets and liabilities that were measured at fair value on a recurring basis as of June 30, 2019 and December 31, 2018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20" w:type="dxa"/>
            <w:vAlign w:val="bottom"/>
            <w:vMerge w:val="restart"/>
          </w:tcPr>
          <w:p>
            <w:pPr>
              <w:spacing w:after="0"/>
              <w:rPr>
                <w:sz w:val="20"/>
                <w:szCs w:val="20"/>
                <w:color w:val="auto"/>
              </w:rPr>
            </w:pPr>
            <w:r>
              <w:rPr>
                <w:rFonts w:ascii="Arial" w:cs="Arial" w:eastAsia="Arial" w:hAnsi="Arial"/>
                <w:sz w:val="18"/>
                <w:szCs w:val="18"/>
                <w:b w:val="1"/>
                <w:bCs w:val="1"/>
                <w:color w:val="auto"/>
              </w:rPr>
              <w:t>As of June 30, 2019</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265,326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52,521</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12,665</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agencies securities</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31,930</w:t>
            </w:r>
          </w:p>
        </w:tc>
        <w:tc>
          <w:tcPr>
            <w:tcW w:w="24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265,326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97,116</w:t>
            </w:r>
          </w:p>
        </w:tc>
        <w:tc>
          <w:tcPr>
            <w:tcW w:w="24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362,442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2018</w:t>
            </w:r>
          </w:p>
        </w:tc>
        <w:tc>
          <w:tcPr>
            <w:tcW w:w="1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Fair Value Measurements</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00" w:type="dxa"/>
            <w:vAlign w:val="bottom"/>
            <w:tcBorders>
              <w:bottom w:val="single" w:sz="8" w:color="CFF0FC"/>
            </w:tcBorders>
            <w:vMerge w:val="continue"/>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34,983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agencies securities</w:t>
            </w:r>
          </w:p>
        </w:tc>
        <w:tc>
          <w:tcPr>
            <w:tcW w:w="11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63,725</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34,983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149,711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184,694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8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Liabilities:</w:t>
            </w:r>
          </w:p>
        </w:tc>
        <w:tc>
          <w:tcPr>
            <w:tcW w:w="1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60"/>
              <w:spacing w:after="0"/>
              <w:rPr>
                <w:sz w:val="20"/>
                <w:szCs w:val="20"/>
                <w:color w:val="auto"/>
              </w:rPr>
            </w:pPr>
            <w:r>
              <w:rPr>
                <w:rFonts w:ascii="Arial" w:cs="Arial" w:eastAsia="Arial" w:hAnsi="Arial"/>
                <w:sz w:val="18"/>
                <w:szCs w:val="18"/>
                <w:color w:val="auto"/>
              </w:rPr>
              <w:t>Convertible preferred stock warrant liability</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320" w:firstLine="518"/>
        <w:spacing w:after="0" w:line="245"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six months ended June 30, 2019 and year ended December 31, 2018.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ind w:right="440" w:firstLine="518"/>
        <w:spacing w:after="0" w:line="245" w:lineRule="auto"/>
        <w:rPr>
          <w:sz w:val="20"/>
          <w:szCs w:val="20"/>
          <w:color w:val="auto"/>
        </w:rPr>
      </w:pPr>
      <w:r>
        <w:rPr>
          <w:rFonts w:ascii="Arial" w:cs="Arial" w:eastAsia="Arial" w:hAnsi="Arial"/>
          <w:sz w:val="18"/>
          <w:szCs w:val="18"/>
          <w:color w:val="auto"/>
        </w:rPr>
        <w:t>The following table provides a summary of changes in the fair value of the Company’s convertible preferred stock warrant liability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Fair Value Using Level 3 Inputs</w:t>
            </w:r>
          </w:p>
        </w:tc>
        <w:tc>
          <w:tcPr>
            <w:tcW w:w="320" w:type="dxa"/>
            <w:vAlign w:val="bottom"/>
          </w:tcPr>
          <w:p>
            <w:pPr>
              <w:spacing w:after="0"/>
              <w:rPr>
                <w:sz w:val="17"/>
                <w:szCs w:val="17"/>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Amounts</w:t>
            </w:r>
          </w:p>
        </w:tc>
      </w:tr>
      <w:tr>
        <w:trPr>
          <w:trHeight w:val="20"/>
        </w:trPr>
        <w:tc>
          <w:tcPr>
            <w:tcW w:w="2660" w:type="dxa"/>
            <w:vAlign w:val="bottom"/>
            <w:tcBorders>
              <w:top w:val="single" w:sz="8" w:color="auto"/>
              <w:bottom w:val="single" w:sz="8" w:color="CFF0FC"/>
            </w:tcBorders>
          </w:tcPr>
          <w:p>
            <w:pPr>
              <w:spacing w:after="0" w:line="20" w:lineRule="exact"/>
              <w:rPr>
                <w:sz w:val="1"/>
                <w:szCs w:val="1"/>
                <w:color w:val="auto"/>
              </w:rPr>
            </w:pPr>
          </w:p>
        </w:tc>
        <w:tc>
          <w:tcPr>
            <w:tcW w:w="674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96"/>
        </w:trPr>
        <w:tc>
          <w:tcPr>
            <w:tcW w:w="94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2017</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7"/>
                <w:szCs w:val="17"/>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 included in other income (expense), net</w:t>
            </w:r>
          </w:p>
        </w:tc>
        <w:tc>
          <w:tcPr>
            <w:tcW w:w="3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9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400" w:type="dxa"/>
            <w:vAlign w:val="bottom"/>
            <w:gridSpan w:val="2"/>
          </w:tcPr>
          <w:p>
            <w:pPr>
              <w:spacing w:after="0" w:line="196" w:lineRule="exact"/>
              <w:rPr>
                <w:sz w:val="20"/>
                <w:szCs w:val="20"/>
                <w:color w:val="auto"/>
              </w:rPr>
            </w:pPr>
            <w:r>
              <w:rPr>
                <w:rFonts w:ascii="Arial" w:cs="Arial" w:eastAsia="Arial" w:hAnsi="Arial"/>
                <w:sz w:val="18"/>
                <w:szCs w:val="18"/>
                <w:color w:val="auto"/>
              </w:rPr>
              <w:t>Balance at December 31, 2018</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198</w:t>
            </w:r>
          </w:p>
        </w:tc>
        <w:tc>
          <w:tcPr>
            <w:tcW w:w="100" w:type="dxa"/>
            <w:vAlign w:val="bottom"/>
          </w:tcPr>
          <w:p>
            <w:pPr>
              <w:spacing w:after="0"/>
              <w:rPr>
                <w:sz w:val="17"/>
                <w:szCs w:val="17"/>
                <w:color w:val="auto"/>
              </w:rPr>
            </w:pPr>
          </w:p>
        </w:tc>
      </w:tr>
      <w:tr>
        <w:trPr>
          <w:trHeight w:val="215"/>
        </w:trPr>
        <w:tc>
          <w:tcPr>
            <w:tcW w:w="9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exercise of preferred stock warrant</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9400" w:type="dxa"/>
            <w:vAlign w:val="bottom"/>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to Series A preferred stock</w:t>
            </w:r>
          </w:p>
        </w:tc>
        <w:tc>
          <w:tcPr>
            <w:tcW w:w="3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(198)</w:t>
            </w:r>
          </w:p>
        </w:tc>
      </w:tr>
      <w:tr>
        <w:trPr>
          <w:trHeight w:val="209"/>
        </w:trPr>
        <w:tc>
          <w:tcPr>
            <w:tcW w:w="9400" w:type="dxa"/>
            <w:vAlign w:val="bottom"/>
            <w:gridSpan w:val="2"/>
          </w:tcPr>
          <w:p>
            <w:pPr>
              <w:spacing w:after="0"/>
              <w:rPr>
                <w:sz w:val="20"/>
                <w:szCs w:val="20"/>
                <w:color w:val="auto"/>
              </w:rPr>
            </w:pPr>
            <w:r>
              <w:rPr>
                <w:rFonts w:ascii="Arial" w:cs="Arial" w:eastAsia="Arial" w:hAnsi="Arial"/>
                <w:sz w:val="18"/>
                <w:szCs w:val="18"/>
                <w:color w:val="auto"/>
              </w:rPr>
              <w:t>Balance at June 30, 2019</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original estimated fair value of approximately $28,000 related to the convertible preferred stock warrants, issued in February 2009 in conjunction with entering into a loan and security agreement with a lender, was measured upon issuance using the Black-Scholes option-pricing model. The Company did not record any gains or losses related to the change in estimated fair value of the warrant liabilities for the six months ended June 30, 2018. On February 3, 2019, all of the warrants were automatically exercised on a net basis into shares of Series A preferred stock. Therefore, the Company did not record any changes in the estimated fair value of the warrant liabilities for the six months ended June 30, 2019. There were no convertible preferred stock warrants outstanding as of June 30, 2019.</w:t>
      </w:r>
    </w:p>
    <w:p>
      <w:pPr>
        <w:spacing w:after="0" w:line="289" w:lineRule="exact"/>
        <w:rPr>
          <w:sz w:val="20"/>
          <w:szCs w:val="20"/>
          <w:color w:val="auto"/>
        </w:rPr>
      </w:pPr>
    </w:p>
    <w:p>
      <w:pPr>
        <w:ind w:right="8860" w:firstLine="8"/>
        <w:spacing w:after="0" w:line="394" w:lineRule="auto"/>
        <w:tabs>
          <w:tab w:leader="none" w:pos="2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w:t>
      </w:r>
    </w:p>
    <w:p>
      <w:pPr>
        <w:ind w:left="520"/>
        <w:spacing w:after="0"/>
        <w:rPr>
          <w:rFonts w:ascii="Arial" w:cs="Arial" w:eastAsia="Arial" w:hAnsi="Arial"/>
          <w:sz w:val="17"/>
          <w:szCs w:val="17"/>
          <w:b w:val="1"/>
          <w:bCs w:val="1"/>
          <w:color w:val="auto"/>
        </w:rPr>
      </w:pPr>
      <w:r>
        <w:rPr>
          <w:rFonts w:ascii="Arial" w:cs="Arial" w:eastAsia="Arial" w:hAnsi="Arial"/>
          <w:sz w:val="18"/>
          <w:szCs w:val="18"/>
          <w:color w:val="auto"/>
        </w:rPr>
        <w:t>Property and equipment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8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09"/>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Laboratory equipment and office furniture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20,939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18,977</w:t>
            </w: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25,314</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FF0FC"/>
            </w:tcBorders>
          </w:tcPr>
          <w:p>
            <w:pPr>
              <w:spacing w:after="0"/>
              <w:rPr>
                <w:sz w:val="18"/>
                <w:szCs w:val="18"/>
                <w:color w:val="auto"/>
              </w:rPr>
            </w:pPr>
          </w:p>
        </w:tc>
      </w:tr>
      <w:tr>
        <w:trPr>
          <w:trHeight w:val="209"/>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 gross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48,227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46,093</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(26,055)</w:t>
            </w:r>
          </w:p>
        </w:tc>
        <w:tc>
          <w:tcPr>
            <w:tcW w:w="1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(22,200)</w:t>
            </w:r>
          </w:p>
        </w:tc>
      </w:tr>
      <w:tr>
        <w:trPr>
          <w:trHeight w:val="209"/>
        </w:trPr>
        <w:tc>
          <w:tcPr>
            <w:tcW w:w="7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22,172</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for the three and six months ended June 30, 2019 was approximately $1.9 million and $3.9 million, respectively.</w:t>
      </w:r>
    </w:p>
    <w:p>
      <w:pPr>
        <w:spacing w:after="0"/>
        <w:rPr>
          <w:sz w:val="20"/>
          <w:szCs w:val="20"/>
          <w:color w:val="auto"/>
        </w:rPr>
      </w:pPr>
      <w:r>
        <w:rPr>
          <w:rFonts w:ascii="Arial" w:cs="Arial" w:eastAsia="Arial" w:hAnsi="Arial"/>
          <w:sz w:val="18"/>
          <w:szCs w:val="18"/>
          <w:color w:val="auto"/>
        </w:rPr>
        <w:t>For the three and six months ended June 30, 2018, depreciation expense was $1.7 million and $3.5 million,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ind w:left="520"/>
              <w:spacing w:after="0"/>
              <w:rPr>
                <w:sz w:val="20"/>
                <w:szCs w:val="20"/>
                <w:color w:val="auto"/>
              </w:rPr>
            </w:pPr>
            <w:r>
              <w:rPr>
                <w:rFonts w:ascii="Arial" w:cs="Arial" w:eastAsia="Arial" w:hAnsi="Arial"/>
                <w:sz w:val="18"/>
                <w:szCs w:val="18"/>
                <w:color w:val="auto"/>
              </w:rPr>
              <w:t>Accrued liabilities consist of the following (in thousands):</w:t>
            </w: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5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320" w:type="dxa"/>
            <w:vAlign w:val="bottom"/>
            <w:tcBorders>
              <w:bottom w:val="single" w:sz="8" w:color="CFF0FC"/>
            </w:tcBorders>
          </w:tcPr>
          <w:p>
            <w:pPr>
              <w:spacing w:after="0"/>
              <w:rPr>
                <w:sz w:val="19"/>
                <w:szCs w:val="19"/>
                <w:color w:val="auto"/>
              </w:rPr>
            </w:pPr>
          </w:p>
        </w:tc>
        <w:tc>
          <w:tcPr>
            <w:tcW w:w="2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2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Clinical trials and research and development costs</w:t>
            </w: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7,188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Personnel-related costs</w:t>
            </w:r>
          </w:p>
        </w:tc>
        <w:tc>
          <w:tcPr>
            <w:tcW w:w="2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Manufacturing costs</w:t>
            </w:r>
          </w:p>
        </w:tc>
        <w:tc>
          <w:tcPr>
            <w:tcW w:w="25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accrued liabilities</w:t>
            </w:r>
          </w:p>
        </w:tc>
        <w:tc>
          <w:tcPr>
            <w:tcW w:w="2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14,003</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2520" w:type="dxa"/>
            <w:vAlign w:val="bottom"/>
            <w:tcBorders>
              <w:top w:val="single" w:sz="8" w:color="CFF0FC"/>
              <w:bottom w:val="single" w:sz="8" w:color="CFF0FC"/>
            </w:tcBorders>
            <w:vMerge w:val="restart"/>
          </w:tcPr>
          <w:p>
            <w:pPr>
              <w:jc w:val="right"/>
              <w:ind w:right="1930"/>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3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2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5. Research Collaboration and License Agreements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w:t>
      </w:r>
    </w:p>
    <w:p>
      <w:pPr>
        <w:spacing w:after="0" w:line="125"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In February 2015, the Company entered into the Collaboration Agreement with Merck, covering the discovery, development and commercialization of novel therapies across a range of therapeutic areas. Pursuant to this agreement, the Company received an upfront payment of $94.0 million in April 2015. Concurrent with entry into the Collaboration Agreement, the parties entered into a Stock Purchase Agreement in which Merck agreed to purchase 8,833,333 shares of Series E convertible preferred stock at a price of $12.00 per share, resulting in net proceeds of approximately $106.0 million. The Company considered the ASC 606 criteria for combining contracts and determined that the Collaboration Agreement and Stock Purchase Agreement should be combined into a single contract. The Company accounted for the overall agreement based on the fair values of the assets and services exchanged, resulting in $106.0 million allocated to the equity component and $94.0 million allocated to the revenue components.</w:t>
      </w:r>
    </w:p>
    <w:p>
      <w:pPr>
        <w:spacing w:after="0" w:line="20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Collaboration Agreement became effective in March 2015 and has a non-cancellable five-year term running through March 16, 2020. The agreement included an exclusive worldwide license to our GDF15 receptor agonist program. On March 15, 2019, Merck exercised its option to extend the research phase of the collaboration through March 16, 2022. Merck terminated its license to the GDF15 receptor agonist program effective May 31, 2019. The collaboration also includes a broad, multiyear drug discovery and early development program financially supported by Merck but scientifically directed by the Company with input from Merck. The Company determines the scientific direction and areas of therapeutic interest, with input from Merck, and is primarily responsible for the conduct of all research, preclinical and early clinical development activities, through human proof of concept. The Company makes the final determinations as to which compounds to advance into and through initial clinical trials,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Merck will fund both the internal and external costs of the Company’s research and early development activities up to $75.0 million each year of the initial five-year term and during the extended two year research period.</w:t>
      </w:r>
    </w:p>
    <w:p>
      <w:pPr>
        <w:spacing w:after="0" w:line="202"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Upon completion of a human proof-of-concept study for a particular compound, regardless of the results of such study, Merck has the one-time option, at a cost of $20.0 million, to obtain an exclusive, worldwide license, on specified terms, to that compound, as well as to other molecules that are directed against the same target in the same manner (“Optioned Program”). If Merck exercises its option, Merck will be responsible, at its own cost, for any further development and commercialization activities for compounds within that Optioned Program. Upon such exercise by Merck, the Company in turn has the right, at the start of the first Phase 3 clinical study for that compound, to elect to participate in a worldwide cost and profit share with Merck, as well as the option to co-detail the compound in the United States, or the Company can elect instead to receive milestones and royalties from Merck based on Merck’s further development and commercialization of the compound. If the Company elects to participate in the cost and profit share, subject to certain limitations, Merck will provide the Company with financial assistance in the form of interest bearing advances of the Company’s share of the overall development costs, which Merck will recoup from the Company’s share of any profit ultimately resulting from sales of the compound and other compounds that reach commercialization. If the Company does not opt in to the cost and profit sharing option, then the Company is eligible to receive development and regulatory milestone payments upon the achievement of specific clinical development or regulatory events with respect to the licensed compound indications in the United States, the European Union and Japan of up to an aggregate of $449.0 million. The Company may also receive commercial milestone payments up to $125.0 million and royalty payments of varying percentages based on the achievement of certain levels of net sales.</w:t>
      </w:r>
    </w:p>
    <w:p>
      <w:pPr>
        <w:spacing w:after="0" w:line="211"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Under the Collaboration Agreement, the Company also granted Merck a worldwide, exclusive right to conduct research and development on small molecule compounds generated by Merck that have specified activity against any target that the Company is researching or developing under the research phase and about which the Company has generated unique biological insights (Small Molecule Program).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the Company’s license, in some cases at the same rates as those the Company is eligible to receive from Merck for a licensed program originating from the Company’s own research and development efforts, provided that, but for use of the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21" w:name="page22"/>
    <w:bookmarkEnd w:id="21"/>
    <w:p>
      <w:pPr>
        <w:ind w:right="220"/>
        <w:spacing w:after="0" w:line="245" w:lineRule="auto"/>
        <w:rPr>
          <w:sz w:val="20"/>
          <w:szCs w:val="20"/>
          <w:color w:val="auto"/>
        </w:rPr>
      </w:pPr>
      <w:r>
        <w:rPr>
          <w:rFonts w:ascii="Arial" w:cs="Arial" w:eastAsia="Arial" w:hAnsi="Arial"/>
          <w:sz w:val="18"/>
          <w:szCs w:val="18"/>
          <w:color w:val="auto"/>
        </w:rPr>
        <w:t>Company’s proprietary information, Merck would not have discovered such small molecule compounds. However, the Company will not have the option to cost and profit share or the option to co-detail those small molecule products.</w:t>
      </w:r>
    </w:p>
    <w:p>
      <w:pPr>
        <w:spacing w:after="0" w:line="19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research and early development program has an initial term of five years, until March 16, 2020. On March 15, 2019, Merck exercised its option to extend the research phase of the collaboration through March 16, 2022. In connection with this extension, Merck agreed to continue to fund the Company’s research and development efforts during the two-year extension period at the same levels as during the initial term and, in lieu of a $20.0 million extension fee that would have otherwise been payable to the Company, Merck will make additional payments totaling up to $20.0 million in support of the Company’s research and development program activities across 2021 and the first quarter of 2022. Under the terms of the agreement, Merck is required to pay a $20.0 million extension fee if it elects to exercise its second option to extend the research phase of the collaboration through March 16, 2024.</w:t>
      </w:r>
    </w:p>
    <w:p>
      <w:pPr>
        <w:spacing w:after="0" w:line="201"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At the end of the research phase, Merck has the right to either require the Company to continue to conduct research and development activities with respect to certain of the then-existing programs for up to three years, which we call the tail period, by agreeing to pay all its internal and external costs for related work, or to take over such selected programs and conduct such research and development activities itself, at its own cost.</w:t>
      </w:r>
    </w:p>
    <w:p>
      <w:pPr>
        <w:spacing w:after="0" w:line="204"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Company evaluated the Collaboration Agreement with Merck under ASC 606 as of January 1, 2019 and June 30, 2019. The Company identified the following promised goods or services at the inception of the Collaboration Arrangement: (i) license to GDF15 receptor agonist program; (ii) license to pursue research and development (“R&amp;D”) and commercialization of small molecule compounds; (iii) performance of R&amp;D services for five years; (iv) two options to extend performance of the R&amp;D services, each for two additional years.; and (v) options to obtain licenses to additional compounds after proof of concept trials. The Company determined the GDF15 receptor agonist program license and small molecule program license are not distinct from the R&amp;D services, resulting in these items being combined into a single performance obligation.</w:t>
      </w:r>
    </w:p>
    <w:p>
      <w:pPr>
        <w:spacing w:after="0" w:line="201"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The Company considered whether the options created material rights in the contract and concluded that the fee attached to the exercise of such options approximated the standalone selling price of the promised goods or services included in the options. Therefore, the options do not give rise to material rights, are not performance obligations in the Collaboration Agreement and, if and when exercised, will be accounted for as separate arrangements under ASC 606.</w:t>
      </w:r>
    </w:p>
    <w:p>
      <w:pPr>
        <w:spacing w:after="0" w:line="204"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The transaction price consists of the $94.0 million upfront fee and the potential funding amounts of up to $ 75.0 million per year for each of the first five years of the Collaboration Agreement. No milestones or other forms of consideration are included in the transaction price as those amounts are contingent upon Merck exercising an option for licenses on additional compounds and would, therefore, be pursuant to separate arrangements and are not part of the Collaboration Agreement estimated transaction price.</w:t>
      </w:r>
    </w:p>
    <w:p>
      <w:pPr>
        <w:spacing w:after="0" w:line="204"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Additionally, if a separate arrangement is created by the exercise of an option, such amounts would then be contingent on events outside of either party’s control, such as products proving to be commercially viable and governmental agencies granting regulatory approval. Such contingencies and uncertainties result in the amounts being constrained and withheld from inclusion in the estimated transaction price of a separate arrangement. Consequently, the estimated transaction price related to the Collaboration Agreement is comprised of the up-front payment and the ongoing R&amp;D reimbursements.</w:t>
      </w:r>
    </w:p>
    <w:p>
      <w:pPr>
        <w:spacing w:after="0" w:line="206"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Any fees associated with options, including upfront fees, funding fees, milestones, etc. are not included in the transaction price as they are associated with options that are not material rights and, thus, are not performance obligations within the Collaboration Agreement. This includes the $ 20.0 million license fee associated with Merck’s exercise of its option on NGM313. That amount was recognized in the period of exercise (i.e., fourth quarter of 2018) as the Company has no further obligations related to that license. Merck exercised its option on the NGM313 compound and paid the Company the $20.0 million option exercise fee in November 2018. The Phase 3 clinical study for NGM313 has not begun, and the Company has not made an election as to whether it will participate in cost and profit share or receive milestone and royalty payments. The amounts do not impact the estimated transaction price associated with the single performance obligation identified in the Collaboration Agreement.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0" w:right="259" w:bottom="1440" w:gutter="0" w:footer="0" w:header="0"/>
        </w:sectPr>
      </w:pPr>
    </w:p>
    <w:bookmarkStart w:id="22" w:name="page23"/>
    <w:bookmarkEnd w:id="22"/>
    <w:p>
      <w:pPr>
        <w:ind w:right="160" w:firstLine="518"/>
        <w:spacing w:after="0" w:line="237" w:lineRule="auto"/>
        <w:rPr>
          <w:sz w:val="20"/>
          <w:szCs w:val="20"/>
          <w:color w:val="auto"/>
        </w:rPr>
      </w:pPr>
      <w:r>
        <w:rPr>
          <w:rFonts w:ascii="Arial" w:cs="Arial" w:eastAsia="Arial" w:hAnsi="Arial"/>
          <w:sz w:val="18"/>
          <w:szCs w:val="18"/>
          <w:color w:val="auto"/>
        </w:rPr>
        <w:t>As there is only one performance obligation in the Collaboration Agreement, the transaction price was allocated entirely to that performance obligation. The Company uses a cost-based input method to measure proportional performance and calculate the corresponding amount of revenue to recognize. The Company believes this is the best measure of progress given that other measures do not reflect how the Company transfers its performance obligation to Merck. In applying the cost-based input measure of revenue recognition, the Company measures actual costs incurred relative to budgeted costs to fulfill the combined performance obligation. These costs consist of full-time equivalent (“FTE”) hours plus allowable external (third-party) costs incurred. Revenue is recognized based on actual costs incurred as a percentage of total budgeted costs as the Company completes its performance obligation.</w:t>
      </w:r>
    </w:p>
    <w:p>
      <w:pPr>
        <w:spacing w:after="0" w:line="201"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On May 31, 2019, Merck terminated its license to the GDF15 receptor agonist program. The Collaboration Agreement R&amp;D services are not affected by the GDF15 receptor agonist program license termination and are expected to continue through the remainder of the research program term.</w:t>
      </w:r>
    </w:p>
    <w:p>
      <w:pPr>
        <w:spacing w:after="0" w:line="202"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As of June 30, 2019 and December 31, 2018, deferred revenue related to the single performance obligation in the Collaboration Agreement was $17.4 million and $23.0 million, respectively. Of the amount recognized for the adoption of ASC 606 in the reporting period ended June 30, 2019, $6.2 million was in deferred revenue at the end of the prior reporting period. As of December 31, 2018, $3.7 million was due from Merck under the Collaboration Agreement. To date, the Company has recognized revenue of approximately $315.9 million related to the single performance obligation in the Collaboration Agreement.</w:t>
      </w:r>
    </w:p>
    <w:p>
      <w:pPr>
        <w:spacing w:after="0" w:line="206"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connection with the Series E convertible preferred stock purchase agreement, the Company and Merck entered into an agreement whereby Merck agreed to purchase 4,121,683 shares of our common stock in a separate private placement concurrent with the completion of the Company’s IPO at a price per share equal to the public offering price of $16.00, resulting in Merck owning approximately 19.9% of the Company’s outstanding shares of common stock following the completion of the IPO. In addition, during the period that ends on the earlier of the end of the initial five-year research term, termination of the Collaboration Agreement or the date on which Merck’s ownership of the Company’s securities drops below 5%, Merck has agreed to vote its shares in favor of the Company’s nominees to the board of directors, increases in the authorized capital stock of the Company and amendments to the Company’s equity plans approved by the board of directors, in each case as recommended by the chairman of the Company’s board of directors. Merck has also agreed, during the period of the initial five-year research phase, not to sell any of its shares of the Company’s capital stock (subject to certain limited exceptions).</w:t>
      </w:r>
    </w:p>
    <w:p>
      <w:pPr>
        <w:spacing w:after="0" w:line="205" w:lineRule="exact"/>
        <w:rPr>
          <w:sz w:val="20"/>
          <w:szCs w:val="20"/>
          <w:color w:val="auto"/>
        </w:rPr>
      </w:pPr>
    </w:p>
    <w:p>
      <w:pPr>
        <w:ind w:right="80" w:firstLine="518"/>
        <w:spacing w:after="0" w:line="253" w:lineRule="auto"/>
        <w:rPr>
          <w:sz w:val="20"/>
          <w:szCs w:val="20"/>
          <w:color w:val="auto"/>
        </w:rPr>
      </w:pPr>
      <w:r>
        <w:rPr>
          <w:rFonts w:ascii="Arial" w:cs="Arial" w:eastAsia="Arial" w:hAnsi="Arial"/>
          <w:sz w:val="17"/>
          <w:szCs w:val="17"/>
          <w:color w:val="auto"/>
        </w:rPr>
        <w:t>The Company is also eligible to receive additional payments specific to Merck opting into an Optioned Program. Each Optioned Program is eligible to receive a one-time payment of $20.0 million upon Merck’s exercise of its one-time option to obtain an exclusive, worldwide license to a compound following its completion of a human proof-of-concept study. In addition, if the Company does not opt into the cost and profit sharing option, then the Company is eligible to receive an aggregate of $449.0 million in milestone payments, of which $77.7 million relates to the potential achievement of specific clinical development events and $371.3 million relates to the potential achievement of certain regulatory events with respect to the licensed compounds for the first three indications in the United States, the European Union and Japan.</w:t>
      </w:r>
    </w:p>
    <w:p>
      <w:pPr>
        <w:spacing w:after="0" w:line="194" w:lineRule="exact"/>
        <w:rPr>
          <w:sz w:val="20"/>
          <w:szCs w:val="20"/>
          <w:color w:val="auto"/>
        </w:rPr>
      </w:pPr>
    </w:p>
    <w:p>
      <w:pPr>
        <w:ind w:right="220" w:firstLine="518"/>
        <w:spacing w:after="0" w:line="245" w:lineRule="auto"/>
        <w:rPr>
          <w:sz w:val="20"/>
          <w:szCs w:val="20"/>
          <w:color w:val="auto"/>
        </w:rPr>
      </w:pPr>
      <w:r>
        <w:rPr>
          <w:rFonts w:ascii="Arial" w:cs="Arial" w:eastAsia="Arial" w:hAnsi="Arial"/>
          <w:sz w:val="18"/>
          <w:szCs w:val="18"/>
          <w:color w:val="auto"/>
        </w:rPr>
        <w:t>A break out of the milestone payments in connection with the potential achievement of certain clinical development events is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7"/>
              </w:rPr>
              <w:t>First</w:t>
            </w: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Second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Third</w:t>
            </w:r>
          </w:p>
        </w:tc>
      </w:tr>
      <w:tr>
        <w:trPr>
          <w:trHeight w:val="225"/>
        </w:trPr>
        <w:tc>
          <w:tcPr>
            <w:tcW w:w="6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Indication</w:t>
            </w:r>
          </w:p>
        </w:tc>
        <w:tc>
          <w:tcPr>
            <w:tcW w:w="160" w:type="dxa"/>
            <w:vAlign w:val="bottom"/>
          </w:tcPr>
          <w:p>
            <w:pPr>
              <w:spacing w:after="0"/>
              <w:rPr>
                <w:sz w:val="19"/>
                <w:szCs w:val="19"/>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Indication</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r>
      <w:tr>
        <w:trPr>
          <w:trHeight w:val="208"/>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Upon administration of an applicable product to the first patient in the</w:t>
            </w: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67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first Phase 3 clinical trial for such product for the given indication</w:t>
            </w: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35,000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25,250</w:t>
            </w:r>
          </w:p>
        </w:tc>
        <w:tc>
          <w:tcPr>
            <w:tcW w:w="4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17,500</w:t>
            </w:r>
          </w:p>
        </w:tc>
        <w:tc>
          <w:tcPr>
            <w:tcW w:w="120" w:type="dxa"/>
            <w:vAlign w:val="bottom"/>
            <w:shd w:val="clear" w:color="auto" w:fill="CFF0FC"/>
          </w:tcPr>
          <w:p>
            <w:pPr>
              <w:spacing w:after="0"/>
              <w:rPr>
                <w:sz w:val="17"/>
                <w:szCs w:val="17"/>
                <w:color w:val="auto"/>
              </w:rPr>
            </w:pPr>
          </w:p>
        </w:tc>
      </w:tr>
    </w:tbl>
    <w:p>
      <w:pPr>
        <w:spacing w:after="0" w:line="242" w:lineRule="exact"/>
        <w:rPr>
          <w:sz w:val="20"/>
          <w:szCs w:val="20"/>
          <w:color w:val="auto"/>
        </w:rPr>
      </w:pPr>
    </w:p>
    <w:p>
      <w:pPr>
        <w:ind w:right="440" w:firstLine="518"/>
        <w:spacing w:after="0" w:line="245" w:lineRule="auto"/>
        <w:rPr>
          <w:sz w:val="20"/>
          <w:szCs w:val="20"/>
          <w:color w:val="auto"/>
        </w:rPr>
      </w:pPr>
      <w:r>
        <w:rPr>
          <w:rFonts w:ascii="Arial" w:cs="Arial" w:eastAsia="Arial" w:hAnsi="Arial"/>
          <w:sz w:val="18"/>
          <w:szCs w:val="18"/>
          <w:color w:val="auto"/>
        </w:rPr>
        <w:t>A breakout of the milestone payments in connection with the potential achievement of certain regulatory events for each of the three indications, for each of the three geographic areas, is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First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Second</w:t>
            </w:r>
          </w:p>
        </w:tc>
        <w:tc>
          <w:tcPr>
            <w:tcW w:w="200" w:type="dxa"/>
            <w:vAlign w:val="bottom"/>
          </w:tcPr>
          <w:p>
            <w:pPr>
              <w:spacing w:after="0"/>
              <w:rPr>
                <w:sz w:val="18"/>
                <w:szCs w:val="18"/>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Third</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4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European Union</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4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165,000</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123,750</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82,500</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371,250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5"/>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Summary of Collaboration Revenue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140" w:type="dxa"/>
            <w:vAlign w:val="bottom"/>
            <w:gridSpan w:val="10"/>
          </w:tcPr>
          <w:p>
            <w:pPr>
              <w:ind w:left="520"/>
              <w:spacing w:after="0"/>
              <w:rPr>
                <w:sz w:val="20"/>
                <w:szCs w:val="20"/>
                <w:color w:val="auto"/>
              </w:rPr>
            </w:pPr>
            <w:r>
              <w:rPr>
                <w:rFonts w:ascii="Arial" w:cs="Arial" w:eastAsia="Arial" w:hAnsi="Arial"/>
                <w:sz w:val="18"/>
                <w:szCs w:val="18"/>
                <w:color w:val="auto"/>
              </w:rPr>
              <w:t>The Company recognized revenue from its collaboration and license agreements as follows (in thousands):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67"/>
        </w:trPr>
        <w:tc>
          <w:tcPr>
            <w:tcW w:w="592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4"/>
                <w:szCs w:val="24"/>
                <w:color w:val="auto"/>
              </w:rPr>
            </w:pPr>
          </w:p>
        </w:tc>
        <w:tc>
          <w:tcPr>
            <w:tcW w:w="2580" w:type="dxa"/>
            <w:vAlign w:val="bottom"/>
            <w:gridSpan w:val="5"/>
          </w:tcPr>
          <w:p>
            <w:pPr>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59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25,341</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40,731</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58"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Company recognized collaboration and license revenue under the Collaboration Agreement of $25.3 million and $50.9 million for the three and six months ended June 30, 2019, respectively, of which $5.7 million and $11.4 million was recognized from the upfront license fee by applying the cost-based input measure of revenue recognition in those periods, respectively. The Company recognized collaboration and license revenue under the Collaboration Agreement of $22.1 million and $ 40.7 million for the three and six months ended June 30, 2018, respectively, of which $4.7 million and $9.4 million was the amortization of upfront license fee, respectively, with the remaining balance related to research and development services reimbursed by Merck provided under the Collaboration Agreement.</w:t>
      </w:r>
    </w:p>
    <w:p>
      <w:pPr>
        <w:spacing w:after="0" w:line="96"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The Company is also eligible to receive commercial milestone payments of up to $125.0 million payable for each licensed product. In addition, the Company is eligible to receive royalties at ascending low-double digit to mid-teen percentage rates, depending on the level of net sales Merck achieves worldwide for each licensed compound.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20" w:type="dxa"/>
            <w:vAlign w:val="bottom"/>
          </w:tcPr>
          <w:p>
            <w:pPr>
              <w:spacing w:after="0"/>
              <w:rPr>
                <w:sz w:val="20"/>
                <w:szCs w:val="20"/>
                <w:color w:val="auto"/>
              </w:rPr>
            </w:pPr>
            <w:r>
              <w:rPr>
                <w:rFonts w:ascii="Arial" w:cs="Arial" w:eastAsia="Arial" w:hAnsi="Arial"/>
                <w:sz w:val="18"/>
                <w:szCs w:val="18"/>
                <w:b w:val="1"/>
                <w:bCs w:val="1"/>
                <w:i w:val="1"/>
                <w:iCs w:val="1"/>
                <w:color w:val="auto"/>
              </w:rPr>
              <w:t>Contract Assets and Liabilities</w:t>
            </w: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020" w:type="dxa"/>
            <w:vAlign w:val="bottom"/>
          </w:tcPr>
          <w:p>
            <w:pPr>
              <w:ind w:left="520"/>
              <w:spacing w:after="0"/>
              <w:rPr>
                <w:sz w:val="20"/>
                <w:szCs w:val="20"/>
                <w:color w:val="auto"/>
              </w:rPr>
            </w:pPr>
            <w:r>
              <w:rPr>
                <w:rFonts w:ascii="Arial" w:cs="Arial" w:eastAsia="Arial" w:hAnsi="Arial"/>
                <w:sz w:val="18"/>
                <w:szCs w:val="18"/>
                <w:color w:val="auto"/>
              </w:rPr>
              <w:t>Changes in contract liabilities under ASC 606 were as follows (in thousands):</w:t>
            </w:r>
          </w:p>
        </w:tc>
        <w:tc>
          <w:tcPr>
            <w:tcW w:w="420" w:type="dxa"/>
            <w:vAlign w:val="bottom"/>
          </w:tcPr>
          <w:p>
            <w:pPr>
              <w:spacing w:after="0"/>
              <w:rPr>
                <w:sz w:val="24"/>
                <w:szCs w:val="24"/>
                <w:color w:val="auto"/>
              </w:rPr>
            </w:pPr>
          </w:p>
        </w:tc>
        <w:tc>
          <w:tcPr>
            <w:tcW w:w="1980" w:type="dxa"/>
            <w:vAlign w:val="bottom"/>
            <w:gridSpan w:val="2"/>
            <w:vMerge w:val="restart"/>
          </w:tcPr>
          <w:p>
            <w:pPr>
              <w:jc w:val="right"/>
              <w:ind w:right="88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2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spacing w:after="0"/>
              <w:rPr>
                <w:sz w:val="20"/>
                <w:szCs w:val="20"/>
                <w:color w:val="auto"/>
              </w:rPr>
            </w:pPr>
            <w:r>
              <w:rPr>
                <w:rFonts w:ascii="Arial" w:cs="Arial" w:eastAsia="Arial" w:hAnsi="Arial"/>
                <w:sz w:val="18"/>
                <w:szCs w:val="18"/>
                <w:color w:val="auto"/>
              </w:rPr>
              <w:t>Adoption of ASC 606</w:t>
            </w:r>
          </w:p>
        </w:tc>
        <w:tc>
          <w:tcPr>
            <w:tcW w:w="4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Balance at January 1, 2019</w:t>
            </w:r>
          </w:p>
        </w:tc>
        <w:tc>
          <w:tcPr>
            <w:tcW w:w="4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 included in the contract liability balance at the beginning of the period</w:t>
            </w:r>
          </w:p>
        </w:tc>
        <w:tc>
          <w:tcPr>
            <w:tcW w:w="42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09"/>
        </w:trPr>
        <w:tc>
          <w:tcPr>
            <w:tcW w:w="902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were no contract assets for all the periods presented.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125"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Revenues from related parties refer to the Collaboration Agreement with Merck. For the three and six months ended June 30, 2019, the Company recognized related party revenues of $25.3 million and $50.9 million, respectively. For the three and six months ended June 30, 2018, the Company recorded related party revenue of $22.1 million and $40.7 million, respectively. As of June 30, 2019 and December 31, 2018, the Company had deferred revenue from related party collaboration agreements of $17.4 million and $23.0 million, respectively.</w:t>
      </w:r>
    </w:p>
    <w:p>
      <w:pPr>
        <w:spacing w:after="0" w:line="96" w:lineRule="exact"/>
        <w:rPr>
          <w:sz w:val="20"/>
          <w:szCs w:val="20"/>
          <w:color w:val="auto"/>
        </w:rPr>
      </w:pPr>
    </w:p>
    <w:p>
      <w:pPr>
        <w:ind w:right="440" w:firstLine="518"/>
        <w:spacing w:after="0" w:line="245" w:lineRule="auto"/>
        <w:rPr>
          <w:sz w:val="20"/>
          <w:szCs w:val="20"/>
          <w:color w:val="auto"/>
        </w:rPr>
      </w:pPr>
      <w:r>
        <w:rPr>
          <w:rFonts w:ascii="Arial" w:cs="Arial" w:eastAsia="Arial" w:hAnsi="Arial"/>
          <w:sz w:val="18"/>
          <w:szCs w:val="18"/>
          <w:color w:val="auto"/>
        </w:rPr>
        <w:t>Other related party transactions include the Company’s assignment of its operating lease of 630 Gateway to Merck (Note 7) and the Company’s private placement with Merck that occurred concurrently with the Company’s IPO (Note 1).</w:t>
      </w:r>
    </w:p>
    <w:p>
      <w:pPr>
        <w:spacing w:after="0" w:line="284" w:lineRule="exact"/>
        <w:rPr>
          <w:sz w:val="20"/>
          <w:szCs w:val="20"/>
          <w:color w:val="auto"/>
        </w:rPr>
      </w:pPr>
    </w:p>
    <w:p>
      <w:pPr>
        <w:jc w:val="center"/>
        <w:ind w:right="8140" w:firstLine="8"/>
        <w:spacing w:after="0" w:line="394" w:lineRule="auto"/>
        <w:tabs>
          <w:tab w:leader="none" w:pos="2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 and Lease Guarantee</w:t>
      </w:r>
    </w:p>
    <w:p>
      <w:pPr>
        <w:spacing w:after="0" w:line="1"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In September 2009, the Company entered into an operating lease for a corporate office space and laboratory facility at 630 Gateway Blvd, in South San Francisco, California (630 Gateway) for approximately 50,000 square feet, as amended in June 2014 (2014 Lease Amendment),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206" w:lineRule="exact"/>
        <w:rPr>
          <w:sz w:val="20"/>
          <w:szCs w:val="20"/>
          <w:color w:val="auto"/>
        </w:rPr>
      </w:pPr>
    </w:p>
    <w:p>
      <w:pPr>
        <w:ind w:right="260" w:firstLine="518"/>
        <w:spacing w:after="0" w:line="238" w:lineRule="auto"/>
        <w:rPr>
          <w:sz w:val="20"/>
          <w:szCs w:val="20"/>
          <w:color w:val="auto"/>
        </w:rPr>
      </w:pPr>
      <w:r>
        <w:rPr>
          <w:rFonts w:ascii="Arial" w:cs="Arial" w:eastAsia="Arial" w:hAnsi="Arial"/>
          <w:sz w:val="18"/>
          <w:szCs w:val="18"/>
          <w:color w:val="auto"/>
        </w:rPr>
        <w:t>In December 2015, the Company entered into a new operating lease for its corporate office space and laboratory facility at 333 Oyster Point Blvd, South San Francisco, California (333 Oyster Point) for approximately 122,000 square feet that expires in December 2023. The lease provided a tenant improvement allowance of $15.2 million that the Company used in 2016 towards $22.3 million in total leasehold improvements that are amortized over the lease term of seven years.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24" w:name="page25"/>
    <w:bookmarkEnd w:id="24"/>
    <w:p>
      <w:pPr>
        <w:ind w:right="280" w:firstLine="518"/>
        <w:spacing w:after="0" w:line="261" w:lineRule="auto"/>
        <w:rPr>
          <w:sz w:val="20"/>
          <w:szCs w:val="20"/>
          <w:color w:val="auto"/>
        </w:rPr>
      </w:pPr>
      <w:r>
        <w:rPr>
          <w:rFonts w:ascii="Arial" w:cs="Arial" w:eastAsia="Arial" w:hAnsi="Arial"/>
          <w:sz w:val="17"/>
          <w:szCs w:val="17"/>
          <w:color w:val="auto"/>
        </w:rPr>
        <w:t>The 333 Oyster Point lease agreement required a letter of credit in the amount of $2.3 million as a security deposit to the lease, which the Company has recorded as non-current restricted cash on the condensed consolidated balance sheets. The Company has the right to reduce the letter of credit amount by $0.4 million on each of the third anniversary and fourth anniversary of the rent commencement date.</w:t>
      </w:r>
    </w:p>
    <w:p>
      <w:pPr>
        <w:spacing w:after="0" w:line="1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July 2016, the Company assigned its operating lease of 630 Gateway to Merck, as part of the Company’s relocation to 333 Oyster Point. As part of the assignment of the lease, the Company is liable to the lessor if Merck defaults on its lease obligations. Therefore, in substance, the Company has guaranteed the lease payments for 630 Gateway, including lease-related expenses such as utilities, property tax and common area maintenance without any limitations. The Company assessed the need for a potential guarantee liability on the assigned lease, and concluded that the value of the guarantee was insignificant as of June 30, 2019 due to the short duration of the remaining lease term through November 2020, and Merck’s credit rating of AA/A1 and subsequent investment in tenant improvements to the facility. As of June 30, 2019 and 2018, the remaining lease payment obligations that are due for 630 Gateway were approximately $2.9 million and $4.8 million, respectively, which are to be paid directly from Merck to the lessor.</w:t>
      </w:r>
    </w:p>
    <w:p>
      <w:pPr>
        <w:spacing w:after="0" w:line="206" w:lineRule="exact"/>
        <w:rPr>
          <w:sz w:val="20"/>
          <w:szCs w:val="20"/>
          <w:color w:val="auto"/>
        </w:rPr>
      </w:pPr>
    </w:p>
    <w:p>
      <w:pPr>
        <w:jc w:val="both"/>
        <w:ind w:right="280" w:firstLine="518"/>
        <w:spacing w:after="0" w:line="238"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$0.5 million for the quarters ended June 30, 2019 and 2018 and $1.1 million for the six months ended June 30, 2019 and 2018.</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the unassigned lease obligations described above are as follows as of June 30, 2019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4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w:t>
            </w:r>
          </w:p>
        </w:tc>
        <w:tc>
          <w:tcPr>
            <w:tcW w:w="100" w:type="dxa"/>
            <w:vAlign w:val="bottom"/>
            <w:shd w:val="clear" w:color="auto" w:fill="CFF0F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2020</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18"/>
                <w:szCs w:val="18"/>
                <w:color w:val="auto"/>
              </w:rPr>
            </w:pP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5,141</w:t>
            </w:r>
          </w:p>
        </w:tc>
        <w:tc>
          <w:tcPr>
            <w:tcW w:w="100" w:type="dxa"/>
            <w:vAlign w:val="bottom"/>
            <w:shd w:val="clear" w:color="auto" w:fill="CFF0F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2022</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5,294</w:t>
            </w:r>
          </w:p>
        </w:tc>
        <w:tc>
          <w:tcPr>
            <w:tcW w:w="100" w:type="dxa"/>
            <w:vAlign w:val="bottom"/>
          </w:tcPr>
          <w:p>
            <w:pPr>
              <w:spacing w:after="0"/>
              <w:rPr>
                <w:sz w:val="18"/>
                <w:szCs w:val="18"/>
                <w:color w:val="auto"/>
              </w:rPr>
            </w:pP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5,455</w:t>
            </w:r>
          </w:p>
        </w:tc>
        <w:tc>
          <w:tcPr>
            <w:tcW w:w="100" w:type="dxa"/>
            <w:vAlign w:val="bottom"/>
            <w:shd w:val="clear" w:color="auto" w:fill="CFF0FC"/>
          </w:tcPr>
          <w:p>
            <w:pPr>
              <w:spacing w:after="0"/>
              <w:rPr>
                <w:sz w:val="18"/>
                <w:szCs w:val="18"/>
                <w:color w:val="auto"/>
              </w:rPr>
            </w:pPr>
          </w:p>
        </w:tc>
      </w:tr>
      <w:tr>
        <w:trPr>
          <w:trHeight w:val="209"/>
        </w:trPr>
        <w:tc>
          <w:tcPr>
            <w:tcW w:w="940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23,346</w:t>
            </w:r>
          </w:p>
        </w:tc>
        <w:tc>
          <w:tcPr>
            <w:tcW w:w="10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5" w:lineRule="exact"/>
        <w:rPr>
          <w:sz w:val="20"/>
          <w:szCs w:val="20"/>
          <w:color w:val="auto"/>
        </w:rPr>
      </w:pPr>
    </w:p>
    <w:p>
      <w:pPr>
        <w:ind w:right="200" w:firstLine="518"/>
        <w:spacing w:after="0"/>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202"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206" w:lineRule="exact"/>
        <w:rPr>
          <w:sz w:val="20"/>
          <w:szCs w:val="20"/>
          <w:color w:val="auto"/>
        </w:rPr>
      </w:pPr>
    </w:p>
    <w:p>
      <w:pPr>
        <w:jc w:val="both"/>
        <w:ind w:right="160" w:firstLine="518"/>
        <w:spacing w:after="0"/>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125" w:lineRule="exact"/>
        <w:rPr>
          <w:sz w:val="20"/>
          <w:szCs w:val="20"/>
          <w:color w:val="auto"/>
        </w:rPr>
      </w:pPr>
    </w:p>
    <w:p>
      <w:pPr>
        <w:ind w:right="360" w:firstLine="518"/>
        <w:spacing w:after="0" w:line="237" w:lineRule="auto"/>
        <w:rPr>
          <w:sz w:val="20"/>
          <w:szCs w:val="20"/>
          <w:color w:val="auto"/>
        </w:rPr>
      </w:pPr>
      <w:r>
        <w:rPr>
          <w:rFonts w:ascii="Arial" w:cs="Arial" w:eastAsia="Arial" w:hAnsi="Arial"/>
          <w:sz w:val="18"/>
          <w:szCs w:val="18"/>
          <w:color w:val="auto"/>
        </w:rPr>
        <w:t>The Company has elected to follow the SEC staff’s guidance (included in ASC 480-10-S99, SEC Materials) when evaluating the classification of its shares within the condensed consolidated balance sheets. A liquidation, winding up, change in control, or sale of substantially all assets of the Company could constitute a redemption event. Although the majority of the Company’s preferred stock is not mandatorily or currently redeemable, a liquidation or winding up of the Company could constitute an event outside its control. Therefore, all shares of convertible preferred stock have been presented outside the permanent equity for all periods presented due to being contingently redeemable.</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Convertible preferred stock at December 31, 2018,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Issuance</w:t>
            </w:r>
          </w:p>
        </w:tc>
        <w:tc>
          <w:tcPr>
            <w:tcW w:w="24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8"/>
              </w:rPr>
              <w:t>Aggregate</w:t>
            </w: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Aggregate</w:t>
            </w:r>
          </w:p>
        </w:tc>
      </w:tr>
      <w:tr>
        <w:trPr>
          <w:trHeight w:val="225"/>
        </w:trPr>
        <w:tc>
          <w:tcPr>
            <w:tcW w:w="5240" w:type="dxa"/>
            <w:vAlign w:val="bottom"/>
          </w:tcPr>
          <w:p>
            <w:pPr>
              <w:spacing w:after="0"/>
              <w:rPr>
                <w:sz w:val="19"/>
                <w:szCs w:val="19"/>
                <w:color w:val="auto"/>
              </w:rPr>
            </w:pPr>
          </w:p>
        </w:tc>
        <w:tc>
          <w:tcPr>
            <w:tcW w:w="23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Price per</w:t>
            </w:r>
          </w:p>
        </w:tc>
        <w:tc>
          <w:tcPr>
            <w:tcW w:w="24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8"/>
              </w:rPr>
              <w:t>Liquidation</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Carrying</w:t>
            </w:r>
          </w:p>
        </w:tc>
      </w:tr>
      <w:tr>
        <w:trPr>
          <w:trHeight w:val="209"/>
        </w:trPr>
        <w:tc>
          <w:tcPr>
            <w:tcW w:w="52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Authorized</w:t>
            </w:r>
          </w:p>
        </w:tc>
        <w:tc>
          <w:tcPr>
            <w:tcW w:w="2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Outstanding</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Share</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Value</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Value</w:t>
            </w:r>
          </w:p>
        </w:tc>
        <w:tc>
          <w:tcPr>
            <w:tcW w:w="100" w:type="dxa"/>
            <w:vAlign w:val="bottom"/>
            <w:tcBorders>
              <w:bottom w:val="single" w:sz="8" w:color="CFF0FC"/>
            </w:tcBorders>
          </w:tcPr>
          <w:p>
            <w:pPr>
              <w:spacing w:after="0"/>
              <w:rPr>
                <w:sz w:val="18"/>
                <w:szCs w:val="18"/>
                <w:color w:val="auto"/>
              </w:rPr>
            </w:pP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Series A</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13,295</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26,462</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Series B</w:t>
            </w:r>
          </w:p>
        </w:tc>
        <w:tc>
          <w:tcPr>
            <w:tcW w:w="1020" w:type="dxa"/>
            <w:vAlign w:val="bottom"/>
          </w:tcPr>
          <w:p>
            <w:pPr>
              <w:jc w:val="right"/>
              <w:spacing w:after="0"/>
              <w:rPr>
                <w:sz w:val="20"/>
                <w:szCs w:val="20"/>
                <w:color w:val="auto"/>
              </w:rPr>
            </w:pPr>
            <w:r>
              <w:rPr>
                <w:rFonts w:ascii="Arial" w:cs="Arial" w:eastAsia="Arial" w:hAnsi="Arial"/>
                <w:sz w:val="18"/>
                <w:szCs w:val="18"/>
                <w:color w:val="auto"/>
              </w:rPr>
              <w:t>11,078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55,389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55,148</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49,887</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Series D</w:t>
            </w:r>
          </w:p>
        </w:tc>
        <w:tc>
          <w:tcPr>
            <w:tcW w:w="1020" w:type="dxa"/>
            <w:vAlign w:val="bottom"/>
          </w:tcPr>
          <w:p>
            <w:pPr>
              <w:jc w:val="right"/>
              <w:spacing w:after="0"/>
              <w:rPr>
                <w:sz w:val="20"/>
                <w:szCs w:val="20"/>
                <w:color w:val="auto"/>
              </w:rPr>
            </w:pPr>
            <w:r>
              <w:rPr>
                <w:rFonts w:ascii="Arial" w:cs="Arial" w:eastAsia="Arial" w:hAnsi="Arial"/>
                <w:sz w:val="18"/>
                <w:szCs w:val="18"/>
                <w:color w:val="auto"/>
              </w:rPr>
              <w:t>6,600</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57,461</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Series 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w:t>
            </w:r>
          </w:p>
        </w:tc>
        <w:tc>
          <w:tcPr>
            <w:tcW w:w="22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88,335</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105,916</w:t>
            </w:r>
          </w:p>
        </w:tc>
        <w:tc>
          <w:tcPr>
            <w:tcW w:w="100" w:type="dxa"/>
            <w:vAlign w:val="bottom"/>
            <w:shd w:val="clear" w:color="auto" w:fill="CFF0FC"/>
          </w:tcPr>
          <w:p>
            <w:pPr>
              <w:spacing w:after="0"/>
              <w:rPr>
                <w:sz w:val="18"/>
                <w:szCs w:val="18"/>
                <w:color w:val="auto"/>
              </w:rPr>
            </w:pPr>
          </w:p>
        </w:tc>
      </w:tr>
      <w:tr>
        <w:trPr>
          <w:trHeight w:val="209"/>
        </w:trPr>
        <w:tc>
          <w:tcPr>
            <w:tcW w:w="5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48,134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277,774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294,874</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In March 2015, the Company amended and restated its certificate of incorporation in conjunction with the Series E convertible preferred stock offering. Prior to the conversion of the convertible preferred stock upon closing of the IPO, the significant rights and obligations of the Company’s convertible preferred stock were as follows:</w:t>
      </w:r>
    </w:p>
    <w:p>
      <w:pPr>
        <w:spacing w:after="0" w:line="184" w:lineRule="exact"/>
        <w:rPr>
          <w:sz w:val="20"/>
          <w:szCs w:val="20"/>
          <w:color w:val="auto"/>
        </w:rPr>
      </w:pPr>
    </w:p>
    <w:p>
      <w:pPr>
        <w:ind w:right="220" w:firstLine="518"/>
        <w:spacing w:after="0" w:line="245"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holder of convertible preferred stock is entitled to the number of votes equal to the number of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into which such shares of convertible preferred stock are convertible. In the event the preferred stockholders control a majority of the board of directors through direct representation on the board of directors or through other rights, the stockholders can approve redemption of the preferred stock.</w:t>
      </w:r>
    </w:p>
    <w:p>
      <w:pPr>
        <w:spacing w:after="0" w:line="180" w:lineRule="exact"/>
        <w:rPr>
          <w:sz w:val="20"/>
          <w:szCs w:val="20"/>
          <w:color w:val="auto"/>
        </w:rPr>
      </w:pPr>
    </w:p>
    <w:p>
      <w:pPr>
        <w:ind w:right="280" w:firstLine="518"/>
        <w:spacing w:after="0" w:line="250"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Each holder of convertible preferred stock is entitled to receive non-cumulative dividends at the rate of 8% per annum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share of convertible preferred stock outstanding, when, as and if declared by the board of directors. These dividends are payable in preference to common stock dividends. To date, the Company has not declared or paid any dividends.</w:t>
      </w:r>
    </w:p>
    <w:p>
      <w:pPr>
        <w:spacing w:after="0" w:line="176"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In the event of any liquidation, dissolution or winding-up of the Company, each holder of convertible preferred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payment out of the assets of the Company legally available for distribution for each share of convertible preferred stock held by the holder of an amount per share of preferred stock equal to the original issue price plus all declared and unpaid dividends on the convertible preferred stock, with the exception that the holder of the Series E convertible preferred stock will only be eligible to receive an amount equal to $10.00 per share plus all declared and unpaid dividends on the convertible preferred stock. In the event that the available funds and assets are insufficient for full payment to the holders of convertible preferred stock on a per-share basis as outlined above, the entire assets and funds of the Company legally available for distribution shall be distributed ratably among the holders of convertible preferred stock in proportion to the full amount to which they would otherwise be respectively entitled. Upon completion of the distribution of assets as set forth above, all of the remaining assets, if any, shall be distributed ratably among the holders of common stock.</w:t>
      </w:r>
    </w:p>
    <w:p>
      <w:pPr>
        <w:spacing w:after="0" w:line="190" w:lineRule="exact"/>
        <w:rPr>
          <w:sz w:val="20"/>
          <w:szCs w:val="20"/>
          <w:color w:val="auto"/>
        </w:rPr>
      </w:pPr>
    </w:p>
    <w:p>
      <w:pPr>
        <w:ind w:right="240" w:firstLine="518"/>
        <w:spacing w:after="0" w:line="250"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Each share of convertible preferred stock was converted to shares of common stock at a ratio of 1:1 upon the closing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IPO. The Company’s outstanding shares of convertible preferred stock converted into 47,283,839 shares of common stock (Note 1). As of June 30, 2019, the Company does not have any convertible preferred stock issued or outstanding.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6" w:name="page27"/>
    <w:bookmarkEnd w:id="26"/>
    <w:p>
      <w:pPr>
        <w:ind w:right="8700" w:firstLine="8"/>
        <w:spacing w:after="0" w:line="372" w:lineRule="auto"/>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(Deficit)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right="260" w:firstLine="518"/>
        <w:spacing w:after="0" w:line="261" w:lineRule="auto"/>
        <w:rPr>
          <w:sz w:val="20"/>
          <w:szCs w:val="20"/>
          <w:color w:val="auto"/>
        </w:rPr>
      </w:pPr>
      <w:r>
        <w:rPr>
          <w:rFonts w:ascii="Arial" w:cs="Arial" w:eastAsia="Arial" w:hAnsi="Arial"/>
          <w:sz w:val="17"/>
          <w:szCs w:val="17"/>
          <w:color w:val="auto"/>
        </w:rPr>
        <w:t>As of June 30, 2019 and December 31, 2018, the Company had 66,039,310 and 6,937,890 shares of common stock outstanding, respectively, which included shares subject to repurchase of 140,005 and 205,108, respectively, as a result of early exercise of stock options not yet vested. As of June 30, 2019 and December 31, 2018, the Company reserved shares of common stock for issuance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tcPr>
          <w:p>
            <w:pPr>
              <w:spacing w:after="0"/>
              <w:rPr>
                <w:sz w:val="17"/>
                <w:szCs w:val="17"/>
                <w:color w:val="auto"/>
              </w:rPr>
            </w:pPr>
          </w:p>
        </w:tc>
        <w:tc>
          <w:tcPr>
            <w:tcW w:w="1840" w:type="dxa"/>
            <w:vAlign w:val="bottom"/>
            <w:gridSpan w:val="2"/>
          </w:tcPr>
          <w:p>
            <w:pPr>
              <w:ind w:left="400"/>
              <w:spacing w:after="0"/>
              <w:rPr>
                <w:sz w:val="20"/>
                <w:szCs w:val="20"/>
                <w:color w:val="auto"/>
              </w:rPr>
            </w:pPr>
            <w:r>
              <w:rPr>
                <w:rFonts w:ascii="Arial" w:cs="Arial" w:eastAsia="Arial" w:hAnsi="Arial"/>
                <w:sz w:val="18"/>
                <w:szCs w:val="18"/>
                <w:b w:val="1"/>
                <w:bCs w:val="1"/>
                <w:color w:val="auto"/>
              </w:rPr>
              <w:t>June 30,</w:t>
            </w:r>
          </w:p>
        </w:tc>
        <w:tc>
          <w:tcPr>
            <w:tcW w:w="170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8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09"/>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preferred stock</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47,267,466</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Common stock options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11,417,124</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9,806,689</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available for grant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349,401</w:t>
            </w: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2,125,875</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Warrant to purchase convertible preferred stock</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19,637</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401(k) Matching Plan</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28,274</w:t>
            </w: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36,751</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ESPP shares available for purchase</w:t>
            </w:r>
          </w:p>
        </w:tc>
        <w:tc>
          <w:tcPr>
            <w:tcW w:w="1560" w:type="dxa"/>
            <w:vAlign w:val="bottom"/>
          </w:tcPr>
          <w:p>
            <w:pPr>
              <w:jc w:val="right"/>
              <w:spacing w:after="0"/>
              <w:rPr>
                <w:sz w:val="20"/>
                <w:szCs w:val="20"/>
                <w:color w:val="auto"/>
              </w:rPr>
            </w:pPr>
            <w:r>
              <w:rPr>
                <w:rFonts w:ascii="Arial" w:cs="Arial" w:eastAsia="Arial" w:hAnsi="Arial"/>
                <w:sz w:val="18"/>
                <w:szCs w:val="18"/>
                <w:color w:val="auto"/>
              </w:rPr>
              <w:t>1,000,000</w:t>
            </w:r>
          </w:p>
        </w:tc>
        <w:tc>
          <w:tcPr>
            <w:tcW w:w="2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12,794,799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59,256,418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2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2018, the Company adopted the 2018 Equity Incentive Plan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 As of June 30, 2019, 17,874,624 shares of common stock had been authorized for issuance under the 2018 Plan. The Company’s 2008 Equity Incentive Plan (the 2008 Plan) expired at the beginning of 2018.</w:t>
      </w:r>
    </w:p>
    <w:p>
      <w:pPr>
        <w:spacing w:after="0" w:line="20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The board of directors exercises reasonable judgment and considers a number of objective and subjective factors to determine the best estimate of the fair value of our common stock, including the Company’s stage of development; progress of its research and development efforts; the rights, preferences and privileges of its convertible preferred stock relative to those of its common stock; equity market conditions affecting comparable companies; and the lack of marketability of our common stock. The exercise price of each option shall not be less than 100% of the fair market value of the common stock subject to the option on the date the option is granted. A 10% or greater stockholder shall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provided that the term of incentive stock options may not exceed ten years from the date of grant for options granted to those other than 10% stockholders.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gridSpan w:val="2"/>
          </w:tcPr>
          <w:p>
            <w:pPr>
              <w:ind w:left="520"/>
              <w:spacing w:after="0"/>
              <w:rPr>
                <w:sz w:val="20"/>
                <w:szCs w:val="20"/>
                <w:color w:val="auto"/>
              </w:rPr>
            </w:pPr>
            <w:r>
              <w:rPr>
                <w:rFonts w:ascii="Arial" w:cs="Arial" w:eastAsia="Arial" w:hAnsi="Arial"/>
                <w:sz w:val="18"/>
                <w:szCs w:val="18"/>
                <w:color w:val="auto"/>
                <w:w w:val="99"/>
              </w:rPr>
              <w:t>A summary of the outstanding stock options is as follows: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6"/>
          </w:tcPr>
          <w:p>
            <w:pPr>
              <w:ind w:left="240"/>
              <w:spacing w:after="0"/>
              <w:rPr>
                <w:sz w:val="20"/>
                <w:szCs w:val="20"/>
                <w:color w:val="auto"/>
              </w:rPr>
            </w:pPr>
            <w:r>
              <w:rPr>
                <w:rFonts w:ascii="Arial" w:cs="Arial" w:eastAsia="Arial" w:hAnsi="Arial"/>
                <w:sz w:val="18"/>
                <w:szCs w:val="18"/>
                <w:b w:val="1"/>
                <w:bCs w:val="1"/>
                <w:color w:val="auto"/>
              </w:rPr>
              <w:t>Outstanding Options</w:t>
            </w: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8"/>
              </w:rPr>
              <w:t>Weighted</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Average</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rPr>
              <w:t>Weighted</w:t>
            </w:r>
          </w:p>
        </w:tc>
        <w:tc>
          <w:tcPr>
            <w:tcW w:w="12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Remaining</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202"/>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Options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Average</w:t>
            </w:r>
          </w:p>
        </w:tc>
        <w:tc>
          <w:tcPr>
            <w:tcW w:w="12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40" w:type="dxa"/>
            <w:vAlign w:val="bottom"/>
          </w:tcPr>
          <w:p>
            <w:pPr>
              <w:spacing w:after="0"/>
              <w:rPr>
                <w:sz w:val="17"/>
                <w:szCs w:val="17"/>
                <w:color w:val="auto"/>
              </w:rPr>
            </w:pPr>
          </w:p>
        </w:tc>
        <w:tc>
          <w:tcPr>
            <w:tcW w:w="12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02"/>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Available</w:t>
            </w: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Exercise</w:t>
            </w:r>
          </w:p>
        </w:tc>
        <w:tc>
          <w:tcPr>
            <w:tcW w:w="12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25"/>
        </w:trPr>
        <w:tc>
          <w:tcPr>
            <w:tcW w:w="50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for Grant</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of Options</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Price</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(in Years)</w:t>
            </w:r>
          </w:p>
        </w:tc>
        <w:tc>
          <w:tcPr>
            <w:tcW w:w="24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Balances at December 31, 2018</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2,125,875</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9,806,689</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Additional shares reserved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granted</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(1,898,251)</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1,898,251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(166,039)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Options cancelled</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121,777</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(121,777)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Balances at June 30, 2019</w:t>
            </w:r>
          </w:p>
        </w:tc>
        <w:tc>
          <w:tcPr>
            <w:tcW w:w="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349,401</w:t>
            </w:r>
          </w:p>
        </w:tc>
        <w:tc>
          <w:tcPr>
            <w:tcW w:w="220" w:type="dxa"/>
            <w:vAlign w:val="bottom"/>
            <w:tcBorders>
              <w:bottom w:val="single" w:sz="8" w:color="CFF0FC"/>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11,417,124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4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87,792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Vested and expected to vest at June 30, 2019</w:t>
            </w:r>
          </w:p>
        </w:tc>
        <w:tc>
          <w:tcPr>
            <w:tcW w:w="9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11,284,854</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6.91</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6.61</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87,261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2"/>
          </w:tcPr>
          <w:p>
            <w:pPr>
              <w:spacing w:after="0" w:line="196" w:lineRule="exact"/>
              <w:rPr>
                <w:sz w:val="20"/>
                <w:szCs w:val="20"/>
                <w:color w:val="auto"/>
              </w:rPr>
            </w:pPr>
            <w:r>
              <w:rPr>
                <w:rFonts w:ascii="Arial" w:cs="Arial" w:eastAsia="Arial" w:hAnsi="Arial"/>
                <w:sz w:val="18"/>
                <w:szCs w:val="18"/>
                <w:color w:val="auto"/>
              </w:rPr>
              <w:t>Outstanding and exercisable at June 30, 2019</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11,417,124</w:t>
            </w:r>
          </w:p>
        </w:tc>
        <w:tc>
          <w:tcPr>
            <w:tcW w:w="14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6.96</w:t>
            </w:r>
          </w:p>
        </w:tc>
        <w:tc>
          <w:tcPr>
            <w:tcW w:w="2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6.63</w:t>
            </w:r>
          </w:p>
        </w:tc>
        <w:tc>
          <w:tcPr>
            <w:tcW w:w="24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87,792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both"/>
        <w:ind w:right="680" w:firstLine="518"/>
        <w:spacing w:after="0"/>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w:t>
      </w:r>
    </w:p>
    <w:p>
      <w:pPr>
        <w:spacing w:after="0" w:line="202" w:lineRule="exact"/>
        <w:rPr>
          <w:sz w:val="20"/>
          <w:szCs w:val="20"/>
          <w:color w:val="auto"/>
        </w:rPr>
      </w:pPr>
    </w:p>
    <w:p>
      <w:pPr>
        <w:ind w:right="360" w:firstLine="518"/>
        <w:spacing w:after="0" w:line="238" w:lineRule="auto"/>
        <w:rPr>
          <w:sz w:val="20"/>
          <w:szCs w:val="20"/>
          <w:color w:val="auto"/>
        </w:rPr>
      </w:pPr>
      <w:r>
        <w:rPr>
          <w:rFonts w:ascii="Arial" w:cs="Arial" w:eastAsia="Arial" w:hAnsi="Arial"/>
          <w:sz w:val="18"/>
          <w:szCs w:val="18"/>
          <w:color w:val="auto"/>
        </w:rPr>
        <w:t>The weighted-average grant date fair value of stock options granted during the six months ended June 30, 2019 and 2018 was $7.82 and $4.93 per share, respectively. The intrinsic value of stock options exercised was $1.7 million and $0.7 million for the six months ended June 30, 2019 and 2018, respectively. Because of the Company’s net operating losses, the Company did not realize any tax benefits from stock-based payment arrangements for the three and six months ended June 30, 2019 and 2018.</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Exercise of Stock Options</w:t>
      </w:r>
    </w:p>
    <w:p>
      <w:pPr>
        <w:spacing w:after="0" w:line="121"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consolidated balance sheets and will be reclassified into common stock and additional paid-in-capital as the shares vest. The Company’s right to repurchase these shares generally lapses in equal installments over four years beginning from the original vesting commencement date.</w:t>
      </w:r>
    </w:p>
    <w:p>
      <w:pPr>
        <w:spacing w:after="0" w:line="204" w:lineRule="exact"/>
        <w:rPr>
          <w:sz w:val="20"/>
          <w:szCs w:val="20"/>
          <w:color w:val="auto"/>
        </w:rPr>
      </w:pPr>
    </w:p>
    <w:p>
      <w:pPr>
        <w:ind w:right="340" w:firstLine="518"/>
        <w:spacing w:after="0" w:line="237" w:lineRule="auto"/>
        <w:rPr>
          <w:sz w:val="20"/>
          <w:szCs w:val="20"/>
          <w:color w:val="auto"/>
        </w:rPr>
      </w:pPr>
      <w:r>
        <w:rPr>
          <w:rFonts w:ascii="Arial" w:cs="Arial" w:eastAsia="Arial" w:hAnsi="Arial"/>
          <w:sz w:val="18"/>
          <w:szCs w:val="18"/>
          <w:color w:val="auto"/>
        </w:rPr>
        <w:t>As of June 30, 2019, there were 140,005 shares of common stock outstanding subject to the Company’s right of repurchase at prices ranging from $7.64 to $8.14 per share. At December 31, 2018, there were 205,108 shares of common stock outstanding subject to the Company’s right of repurchase at prices ranging from $4.00 to $8.14 per share. As of June 30, 2019 and December 31, 2018, the Company recorded $1.1 million and $1.6 million, respectively, as early exercise stock option liabilities associated with shares issued with repurchase rights.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Stock-Based Compensation Expense</w:t>
      </w:r>
    </w:p>
    <w:p>
      <w:pPr>
        <w:spacing w:after="0" w:line="121"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Employee and director stock-based compensation expense for the three and six months ended June 30, 2019 and 2018, was calculated based on awards ultimately expected to vest and has been reduced for estimated forfeitures. The following table summarizes stock-based compensation expense related to stock-based payment awards to employees and directors for the three and six months ended June 30, 2019 and 2018, which was allocated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19"/>
                <w:szCs w:val="19"/>
                <w:color w:val="auto"/>
              </w:rPr>
            </w:pPr>
          </w:p>
        </w:tc>
        <w:tc>
          <w:tcPr>
            <w:tcW w:w="2580" w:type="dxa"/>
            <w:vAlign w:val="bottom"/>
            <w:gridSpan w:val="5"/>
          </w:tcPr>
          <w:p>
            <w:pPr>
              <w:spacing w:after="0"/>
              <w:rPr>
                <w:sz w:val="20"/>
                <w:szCs w:val="20"/>
                <w:color w:val="auto"/>
              </w:rPr>
            </w:pPr>
            <w:r>
              <w:rPr>
                <w:rFonts w:ascii="Arial" w:cs="Arial" w:eastAsia="Arial" w:hAnsi="Arial"/>
                <w:sz w:val="18"/>
                <w:szCs w:val="18"/>
                <w:b w:val="1"/>
                <w:bCs w:val="1"/>
                <w:color w:val="auto"/>
              </w:rPr>
              <w:t>Six Months Ended June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CFF0FC"/>
            </w:tcBorders>
          </w:tcPr>
          <w:p>
            <w:pPr>
              <w:spacing w:after="0"/>
              <w:rPr>
                <w:sz w:val="18"/>
                <w:szCs w:val="18"/>
                <w:color w:val="auto"/>
              </w:rPr>
            </w:pPr>
          </w:p>
        </w:tc>
        <w:tc>
          <w:tcPr>
            <w:tcW w:w="14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2"/>
            <w:shd w:val="clear" w:color="auto" w:fill="CFF0FC"/>
          </w:tcPr>
          <w:p>
            <w:pPr>
              <w:ind w:left="1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700" w:type="dxa"/>
            <w:vAlign w:val="bottom"/>
            <w:gridSpan w:val="2"/>
            <w:shd w:val="clear" w:color="auto" w:fill="CFF0FC"/>
          </w:tcPr>
          <w:p>
            <w:pPr>
              <w:ind w:left="1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3,633</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6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Valuation Assumptions</w:t>
      </w:r>
    </w:p>
    <w:p>
      <w:pPr>
        <w:spacing w:after="0" w:line="121"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204" w:lineRule="exact"/>
        <w:rPr>
          <w:sz w:val="20"/>
          <w:szCs w:val="20"/>
          <w:color w:val="auto"/>
        </w:rPr>
      </w:pPr>
    </w:p>
    <w:p>
      <w:pPr>
        <w:ind w:right="480" w:firstLine="518"/>
        <w:spacing w:after="0" w:line="245" w:lineRule="auto"/>
        <w:rPr>
          <w:sz w:val="20"/>
          <w:szCs w:val="20"/>
          <w:color w:val="auto"/>
        </w:rPr>
      </w:pPr>
      <w:r>
        <w:rPr>
          <w:rFonts w:ascii="Arial" w:cs="Arial" w:eastAsia="Arial" w:hAnsi="Arial"/>
          <w:sz w:val="18"/>
          <w:szCs w:val="18"/>
          <w:color w:val="auto"/>
        </w:rPr>
        <w:t>The fair value of stock option awards granted to employees was estimated at the date of grant using a Black-Scholes option-pricing model with the following weighted-average valuation assumptions: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40" w:type="dxa"/>
            <w:vAlign w:val="bottom"/>
          </w:tcPr>
          <w:p>
            <w:pPr>
              <w:spacing w:after="0"/>
              <w:rPr>
                <w:sz w:val="19"/>
                <w:szCs w:val="19"/>
                <w:color w:val="auto"/>
              </w:rPr>
            </w:pPr>
          </w:p>
        </w:tc>
        <w:tc>
          <w:tcPr>
            <w:tcW w:w="29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9"/>
              </w:rPr>
              <w:t>Three Months Ended June 30,</w:t>
            </w:r>
          </w:p>
        </w:tc>
        <w:tc>
          <w:tcPr>
            <w:tcW w:w="27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5740" w:type="dxa"/>
            <w:vAlign w:val="bottom"/>
            <w:tcBorders>
              <w:bottom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FF0FC"/>
            </w:tcBorders>
          </w:tcPr>
          <w:p>
            <w:pPr>
              <w:spacing w:after="0"/>
              <w:rPr>
                <w:sz w:val="18"/>
                <w:szCs w:val="18"/>
                <w:color w:val="auto"/>
              </w:rPr>
            </w:pPr>
          </w:p>
        </w:tc>
      </w:tr>
      <w:tr>
        <w:trPr>
          <w:trHeight w:val="20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2.19%</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2.75%</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2.44%</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Expected term of options (in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5.76</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6.17</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65.47%</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70.09%</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64.92%</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70.81%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Forfeiture rate</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11.94%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5.46%</w:t>
            </w: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dividends</w:t>
            </w: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weighted-average valuation assumptions were determined as follows:</w:t>
      </w:r>
    </w:p>
    <w:p>
      <w:pPr>
        <w:spacing w:after="0" w:line="211" w:lineRule="exact"/>
        <w:rPr>
          <w:sz w:val="20"/>
          <w:szCs w:val="20"/>
          <w:color w:val="auto"/>
        </w:rPr>
      </w:pPr>
    </w:p>
    <w:p>
      <w:pPr>
        <w:ind w:right="560" w:firstLine="518"/>
        <w:spacing w:after="0" w:line="245" w:lineRule="auto"/>
        <w:rPr>
          <w:sz w:val="20"/>
          <w:szCs w:val="20"/>
          <w:color w:val="auto"/>
        </w:rPr>
      </w:pPr>
      <w:r>
        <w:rPr>
          <w:rFonts w:ascii="Arial" w:cs="Arial" w:eastAsia="Arial" w:hAnsi="Arial"/>
          <w:sz w:val="18"/>
          <w:szCs w:val="18"/>
          <w:color w:val="auto"/>
        </w:rPr>
        <w:t>Expected Stock Price Volatility: The expected volatility is based on the historical volatility of the stock of similar entities within the Company’s industry over periods commensurate with the Company’s expected term assumption.</w:t>
      </w:r>
    </w:p>
    <w:p>
      <w:pPr>
        <w:spacing w:after="0" w:line="198"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Expected Term of Options: The expected term of options represents the period of time options are expected to be outstanding. The expected term of the options granted is derived using the “simplified” method (that is, estimating the expected term as the midpoint between the vesting date and the end of the contractual term for each option).</w:t>
      </w:r>
    </w:p>
    <w:p>
      <w:pPr>
        <w:spacing w:after="0" w:line="202" w:lineRule="exact"/>
        <w:rPr>
          <w:sz w:val="20"/>
          <w:szCs w:val="20"/>
          <w:color w:val="auto"/>
        </w:rPr>
      </w:pPr>
    </w:p>
    <w:p>
      <w:pPr>
        <w:ind w:right="20" w:firstLine="518"/>
        <w:spacing w:after="0" w:line="245" w:lineRule="auto"/>
        <w:rPr>
          <w:sz w:val="20"/>
          <w:szCs w:val="20"/>
          <w:color w:val="auto"/>
        </w:rPr>
      </w:pPr>
      <w:r>
        <w:rPr>
          <w:rFonts w:ascii="Arial" w:cs="Arial" w:eastAsia="Arial" w:hAnsi="Arial"/>
          <w:sz w:val="18"/>
          <w:szCs w:val="18"/>
          <w:color w:val="auto"/>
        </w:rPr>
        <w:t>Risk-Free Interest Rate: The Company bases the risk-free interest rate on the interest rate payable on U.S. Treasury securities in effect at the time of grant for a period that is commensurate with the assumed expected option term.</w:t>
      </w:r>
    </w:p>
    <w:p>
      <w:pPr>
        <w:spacing w:after="0" w:line="198" w:lineRule="exact"/>
        <w:rPr>
          <w:sz w:val="20"/>
          <w:szCs w:val="20"/>
          <w:color w:val="auto"/>
        </w:rPr>
      </w:pPr>
    </w:p>
    <w:p>
      <w:pPr>
        <w:ind w:left="520"/>
        <w:spacing w:after="0"/>
        <w:tabs>
          <w:tab w:leader="none" w:pos="2960" w:val="left"/>
        </w:tabs>
        <w:rPr>
          <w:sz w:val="20"/>
          <w:szCs w:val="20"/>
          <w:color w:val="auto"/>
        </w:rPr>
      </w:pPr>
      <w:r>
        <w:rPr>
          <w:rFonts w:ascii="Arial" w:cs="Arial" w:eastAsia="Arial" w:hAnsi="Arial"/>
          <w:sz w:val="18"/>
          <w:szCs w:val="18"/>
          <w:color w:val="auto"/>
        </w:rPr>
        <w:t>Expected Annual Dividends:</w:t>
      </w:r>
      <w:r>
        <w:rPr>
          <w:sz w:val="20"/>
          <w:szCs w:val="20"/>
          <w:color w:val="auto"/>
        </w:rPr>
        <w:tab/>
      </w:r>
      <w:r>
        <w:rPr>
          <w:rFonts w:ascii="Arial" w:cs="Arial" w:eastAsia="Arial" w:hAnsi="Arial"/>
          <w:sz w:val="17"/>
          <w:szCs w:val="17"/>
          <w:color w:val="auto"/>
        </w:rPr>
        <w:t>The Company has not historically paid, and does not expect for the foreseeable future to pay, a dividend.</w:t>
      </w:r>
    </w:p>
    <w:p>
      <w:pPr>
        <w:spacing w:after="0" w:line="211" w:lineRule="exact"/>
        <w:rPr>
          <w:sz w:val="20"/>
          <w:szCs w:val="20"/>
          <w:color w:val="auto"/>
        </w:rPr>
      </w:pPr>
    </w:p>
    <w:p>
      <w:pPr>
        <w:ind w:right="580" w:firstLine="518"/>
        <w:spacing w:after="0" w:line="245" w:lineRule="auto"/>
        <w:rPr>
          <w:sz w:val="20"/>
          <w:szCs w:val="20"/>
          <w:color w:val="auto"/>
        </w:rPr>
      </w:pPr>
      <w:r>
        <w:rPr>
          <w:rFonts w:ascii="Arial" w:cs="Arial" w:eastAsia="Arial" w:hAnsi="Arial"/>
          <w:sz w:val="18"/>
          <w:szCs w:val="18"/>
          <w:color w:val="auto"/>
        </w:rPr>
        <w:t>Forfeiture Rate: The forfeiture rate represents the percentage of unvested stock options the Company expects will not vest, and, therefore, should not be expensed. The Company estimates forfeiture rates based on historical stock option grants and cancellations.</w:t>
      </w:r>
    </w:p>
    <w:p>
      <w:pPr>
        <w:spacing w:after="0" w:line="198" w:lineRule="exact"/>
        <w:rPr>
          <w:sz w:val="20"/>
          <w:szCs w:val="20"/>
          <w:color w:val="auto"/>
        </w:rPr>
      </w:pPr>
    </w:p>
    <w:p>
      <w:pPr>
        <w:jc w:val="both"/>
        <w:ind w:right="300" w:firstLine="518"/>
        <w:spacing w:after="0"/>
        <w:rPr>
          <w:sz w:val="20"/>
          <w:szCs w:val="20"/>
          <w:color w:val="auto"/>
        </w:rPr>
      </w:pPr>
      <w:r>
        <w:rPr>
          <w:rFonts w:ascii="Arial" w:cs="Arial" w:eastAsia="Arial" w:hAnsi="Arial"/>
          <w:sz w:val="18"/>
          <w:szCs w:val="18"/>
          <w:color w:val="auto"/>
        </w:rPr>
        <w:t>As of June 30, 2019, there was approximately $ 26.3 million in total unrecognized compensation expense, net of estimated forfeitures, related to unvested options granted to employees and directors under the 2008 and 2018 Plans. The expense is expected to be recognized over a weighted-average period of 2.74 years.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Stock Options Granted to Non-employees</w:t>
      </w:r>
    </w:p>
    <w:p>
      <w:pPr>
        <w:spacing w:after="0" w:line="121"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Company grants stock options to non-employees in exchange for services performed for the Company. The Company granted 22,500 options to non-employees during the three and six months ended June 30, 2019 and did not grant any options during the three and six months ended June 30, 2018. Stock-based compensation expense related to stock-based payment awards to non-employees for the three and six months ended June 30, 2019 was $ 39,000 and $70,000, respectively. Stock-based compensation expense related to stock-based payment awards to non-employees for the three and six months ended June 30, 2018 was $23,000 and $48,000, respectively. As of June 30, 2019 and December 31, 2018, non-employee stock options to purchase 30,315 and 16,042 shares, respectively, remained unvested.</w:t>
      </w:r>
    </w:p>
    <w:p>
      <w:pPr>
        <w:spacing w:after="0" w:line="204" w:lineRule="exact"/>
        <w:rPr>
          <w:sz w:val="20"/>
          <w:szCs w:val="20"/>
          <w:color w:val="auto"/>
        </w:rPr>
      </w:pPr>
    </w:p>
    <w:p>
      <w:pPr>
        <w:ind w:right="120" w:firstLine="518"/>
        <w:spacing w:after="0" w:line="245" w:lineRule="auto"/>
        <w:rPr>
          <w:sz w:val="20"/>
          <w:szCs w:val="20"/>
          <w:color w:val="auto"/>
        </w:rPr>
      </w:pPr>
      <w:r>
        <w:rPr>
          <w:rFonts w:ascii="Arial" w:cs="Arial" w:eastAsia="Arial" w:hAnsi="Arial"/>
          <w:sz w:val="18"/>
          <w:szCs w:val="18"/>
          <w:color w:val="auto"/>
        </w:rPr>
        <w:t>The fair value of stock option awards granted to non-employees was estimated at the date of grant using a Black-Scholes option-pricing model with the following weighted-average valuation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60" w:type="dxa"/>
            <w:vAlign w:val="bottom"/>
          </w:tcPr>
          <w:p>
            <w:pPr>
              <w:spacing w:after="0"/>
              <w:rPr>
                <w:sz w:val="19"/>
                <w:szCs w:val="19"/>
                <w:color w:val="auto"/>
              </w:rPr>
            </w:pPr>
          </w:p>
        </w:tc>
        <w:tc>
          <w:tcPr>
            <w:tcW w:w="2840" w:type="dxa"/>
            <w:vAlign w:val="bottom"/>
            <w:gridSpan w:val="4"/>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720" w:type="dxa"/>
            <w:vAlign w:val="bottom"/>
            <w:gridSpan w:val="4"/>
          </w:tcPr>
          <w:p>
            <w:pPr>
              <w:ind w:left="14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5860" w:type="dxa"/>
            <w:vAlign w:val="bottom"/>
            <w:tcBorders>
              <w:bottom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0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2.26%</w:t>
            </w:r>
          </w:p>
        </w:tc>
        <w:tc>
          <w:tcPr>
            <w:tcW w:w="138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2.26%</w:t>
            </w:r>
          </w:p>
        </w:tc>
        <w:tc>
          <w:tcPr>
            <w:tcW w:w="12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Expected term of options (in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6.00</w:t>
            </w:r>
          </w:p>
        </w:tc>
        <w:tc>
          <w:tcPr>
            <w:tcW w:w="320" w:type="dxa"/>
            <w:vAlign w:val="bottom"/>
          </w:tcPr>
          <w:p>
            <w:pPr>
              <w:spacing w:after="0"/>
              <w:rPr>
                <w:sz w:val="18"/>
                <w:szCs w:val="18"/>
                <w:color w:val="auto"/>
              </w:rPr>
            </w:pP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65.77%</w:t>
            </w:r>
          </w:p>
        </w:tc>
        <w:tc>
          <w:tcPr>
            <w:tcW w:w="138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65.77%</w:t>
            </w:r>
          </w:p>
        </w:tc>
        <w:tc>
          <w:tcPr>
            <w:tcW w:w="12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Expected dividends</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25"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 March 2019, the Company adopted the 2019 ESPP. The Company reserved 1,000,000 shares of common stock pursuant to purchase rights granted to the Company’s employees. The 2019 ESPP provides that the number of shares reserved and available for issuance will automatically increase on January 1 of each calendar year, beginning January 1, 2020, by the least of (1) 1.0% of the total number of shares of common stock outstanding on December 31 of the preceding calendar year, (2) 1,000,000 shares or (3) a number determined by our board of directors that is less than (1) and (2).</w:t>
      </w:r>
    </w:p>
    <w:p>
      <w:pPr>
        <w:spacing w:after="0" w:line="233"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Under the 2019 ESPP, eligible employees are granted options to purchase shares of our common stock through payroll deductions that cannot exceed 15% of each employee’s salary. The 2019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The 2019 ESPP is considered a compensatory plan and the Company recorded stock-based compensation expense of $0.5 million for the three months ended June 30, 2019. As of June 30, 2019, no shares of common stock were issued under the 2019 ESPP.</w:t>
      </w:r>
    </w:p>
    <w:p>
      <w:pPr>
        <w:spacing w:after="0" w:line="204" w:lineRule="exact"/>
        <w:rPr>
          <w:sz w:val="20"/>
          <w:szCs w:val="20"/>
          <w:color w:val="auto"/>
        </w:rPr>
      </w:pPr>
    </w:p>
    <w:p>
      <w:pPr>
        <w:ind w:right="120" w:firstLine="518"/>
        <w:spacing w:after="0" w:line="245" w:lineRule="auto"/>
        <w:rPr>
          <w:sz w:val="20"/>
          <w:szCs w:val="20"/>
          <w:color w:val="auto"/>
        </w:rPr>
      </w:pPr>
      <w:r>
        <w:rPr>
          <w:rFonts w:ascii="Arial" w:cs="Arial" w:eastAsia="Arial" w:hAnsi="Arial"/>
          <w:sz w:val="18"/>
          <w:szCs w:val="18"/>
          <w:color w:val="auto"/>
        </w:rPr>
        <w:t>The fair value of the rights granted to employees under the 2019 ESPP was estimated at the date of offer using a Black-Scholes option-pricing model with the following weighted-average valuation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60" w:type="dxa"/>
            <w:vAlign w:val="bottom"/>
          </w:tcPr>
          <w:p>
            <w:pPr>
              <w:spacing w:after="0"/>
              <w:rPr>
                <w:sz w:val="19"/>
                <w:szCs w:val="19"/>
                <w:color w:val="auto"/>
              </w:rPr>
            </w:pPr>
          </w:p>
        </w:tc>
        <w:tc>
          <w:tcPr>
            <w:tcW w:w="2840" w:type="dxa"/>
            <w:vAlign w:val="bottom"/>
            <w:gridSpan w:val="4"/>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720" w:type="dxa"/>
            <w:vAlign w:val="bottom"/>
            <w:gridSpan w:val="4"/>
          </w:tcPr>
          <w:p>
            <w:pPr>
              <w:ind w:left="14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5860" w:type="dxa"/>
            <w:vAlign w:val="bottom"/>
            <w:tcBorders>
              <w:bottom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0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1.90%</w:t>
            </w:r>
          </w:p>
        </w:tc>
        <w:tc>
          <w:tcPr>
            <w:tcW w:w="138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1.90%</w:t>
            </w:r>
          </w:p>
        </w:tc>
        <w:tc>
          <w:tcPr>
            <w:tcW w:w="12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Expected term of options (in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8"/>
                <w:szCs w:val="18"/>
                <w:color w:val="auto"/>
              </w:rPr>
            </w:pP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59.79%</w:t>
            </w:r>
          </w:p>
        </w:tc>
        <w:tc>
          <w:tcPr>
            <w:tcW w:w="138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59.79%</w:t>
            </w:r>
          </w:p>
        </w:tc>
        <w:tc>
          <w:tcPr>
            <w:tcW w:w="12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Expected dividends</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5"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The Company has a history of losses, and expects to record a loss in 2019. Additionally, the net deferred tax assets have been fully offset by a valuation allowance against our net operating loss carryforwards. Therefore, the Company has not recorded a provision for income taxes.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7"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i w:val="1"/>
          <w:iCs w:val="1"/>
          <w:color w:val="auto"/>
        </w:rPr>
        <w:t>The following discussion and analysis should be read in conjunction with the audited consolidated financial statements and notes for the year ended December 31, 2018, included in the Company’s final prospectus filed with the SEC pursuant to Rule 424(b) under the Securities Act of 1933, as amended, on April 4, 2019 (the “Prospectus”), and other financial information appearing elsewhere in this Quarterly Report on Form 10-Q.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spacing w:after="0" w:line="82" w:lineRule="exact"/>
        <w:rPr>
          <w:sz w:val="20"/>
          <w:szCs w:val="20"/>
          <w:color w:val="auto"/>
        </w:rPr>
      </w:pPr>
    </w:p>
    <w:p>
      <w:pPr>
        <w:ind w:right="320" w:firstLine="518"/>
        <w:spacing w:after="0" w:line="242"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six of which have entered clinical testing. Our most advanced product candidate, aldafermin, previously known as NGM282, is wholly-owned and entered Phase 2b development for the treatment of non-alcoholic steatohepatitis, or NASH, in mid-2019. In an ongoing Phase 2 clinical trial, aldafermin has demonstrated the ability to rapidly improve NASH and reverse liver fibrosis at 12 weeks. Our other programs are in Phase 1 clinical or preclinical testing; some of these programs are subject to our Merck collaboration as described below.</w:t>
      </w:r>
    </w:p>
    <w:p>
      <w:pPr>
        <w:spacing w:after="0" w:line="206"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In February 2015, we entered into a five-year research collaboration, product development and license agreement with Merck Sharp &amp; Dohme Corp., or Merck, that allows us to develop multiple product candidates in parallel without bearing substantially greater costs or incurring significantly greater risk compared to developing candidates on our own. Through June 30, 2019, Merck had paid us $378.7 million, of which $20.0 million was to license NGM313 and related compounds and $358.7 million was upfront payment and reimbursement of research and development expenses. On March 15, 2019, Merck exercised its option to extend the collaboration through March 16, 2022, and has the right to extend it again through March 16, 2024. As part of the extension through March 16, 2022, Merck agreed to continue to fund our research and development efforts at the same levels during the two-year extension period and, in lieu of a $20.0 million extension fee payable to us, during such two year extension period, Merck will make additional payments totaling up to $20.0 million in support of our research and development activities across 2021 and the first quarter of 2022.</w:t>
      </w:r>
    </w:p>
    <w:p>
      <w:pPr>
        <w:spacing w:after="0" w:line="205"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April 2019, we completed an IPO issuing an aggregate of 7,521,394 shares of common stock, which included 854,727 shares of common stock issued pursuant to the over-allotment option granted to the underwriters at a price of $16.00 per share, before underwriting discounts and commissions. As a result of the IPO, we received approximately $107.8 million in net proceeds, after deducting underwriting discounts, commissions and offering expenses of $4.1 million, of which $2.3 million was paid in 2018. As of June 30, 2019, we offset the deferred offering costs against the net proceeds received from the sale of common stock. At the closing of the IPO, 47,283,839 shares of outstanding convertible preferred stock were automatically converted to common stock on a 1:1 basis. Following the IPO, there were no shares of preferred stock outstanding. Concurrent with the completion of the IPO, we also issued 4,121,683 shares to Merck in a private placement at a price of $16.00 per share for proceeds of $65.9 million, which resulted in Merck owning approximately 19.9% of our outstanding shares of common stock.</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1" w:name="page32"/>
    <w:bookmarkEnd w:id="31"/>
    <w:p>
      <w:pPr>
        <w:ind w:right="40" w:firstLine="518"/>
        <w:spacing w:after="0" w:line="236" w:lineRule="auto"/>
        <w:rPr>
          <w:sz w:val="20"/>
          <w:szCs w:val="20"/>
          <w:color w:val="auto"/>
        </w:rPr>
      </w:pPr>
      <w:r>
        <w:rPr>
          <w:rFonts w:ascii="Arial" w:cs="Arial" w:eastAsia="Arial" w:hAnsi="Arial"/>
          <w:sz w:val="18"/>
          <w:szCs w:val="18"/>
          <w:color w:val="auto"/>
        </w:rPr>
        <w:t>We have incurred net losses in each year since our inception. Our consolidated net losses were $7.7 million and $15.9 million for the three and six months ended June 30, 2019, respectively, compared to losses of $ 3.2 million and $ 7.1 million for the three and six months ended June 30, 2018, respectively. As of June 30, 2019, we had an accumulated deficit of $169.3 million, of which $4.2 million was an accumulated adjustment to retained earnings at January 1, 2019 for the Company’s adoption of ASU 2014-09, Revenue from Contracts with Customers, and subsequent amendments (“ASC 606”), under the modified retrospective approach to adoption. Substantially all of our net losses have resulted from costs incurred in connection with our research and development programs and from general and administrative costs associated with our operations. Our net losses may fluctuate significantly from quarter to quarter and year to year, depending on the timing of our clinical trials and our expenses on other research and development activities.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inception, we have funded our operations primarily through the private placement of convertible preferred stock totaling</w:t>
      </w:r>
    </w:p>
    <w:p>
      <w:pPr>
        <w:ind w:right="40"/>
        <w:spacing w:after="0" w:line="236" w:lineRule="auto"/>
        <w:rPr>
          <w:sz w:val="20"/>
          <w:szCs w:val="20"/>
          <w:color w:val="auto"/>
        </w:rPr>
      </w:pPr>
      <w:r>
        <w:rPr>
          <w:rFonts w:ascii="Arial" w:cs="Arial" w:eastAsia="Arial" w:hAnsi="Arial"/>
          <w:sz w:val="18"/>
          <w:szCs w:val="18"/>
          <w:color w:val="auto"/>
        </w:rPr>
        <w:t>$295.1 million, upfront license fees paid by collaboration partners of $123.0 million, our initial public offering with net proceeds of $107.8 million, a concurrent private placement of common stock to Merck for $65.9 million, the license of NGM313 and related compounds to Merck for $20.0 million and research and development service fees provided by collaboration partners of $284.6 million. We do not have any products approved for sale and do not anticipate generating revenue from product sales for the foreseeable future, if ever. Accordingly, to fund further operations we may need to raise capital. Until such time as we can generate meaningful revenue from product sales, if ever, we expect to finance our operating activities through public equity or debt financings, collaborations, strategic alliances and licensing arrangements, government or other third-party funding or a combination of these. We may not be able to secure additional funding on terms acceptable to us, or at all, and any failure to secure funding as and when needed could compromise our ability to execute on our business plan, which could materially and adversely affect our business, financial condition and results of operations. 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w:t>
      </w:r>
    </w:p>
    <w:p>
      <w:pPr>
        <w:spacing w:after="0" w:line="203" w:lineRule="exact"/>
        <w:rPr>
          <w:sz w:val="20"/>
          <w:szCs w:val="20"/>
          <w:color w:val="auto"/>
        </w:rPr>
      </w:pPr>
    </w:p>
    <w:p>
      <w:pPr>
        <w:ind w:right="240" w:firstLine="518"/>
        <w:spacing w:after="0" w:line="274" w:lineRule="auto"/>
        <w:rPr>
          <w:sz w:val="20"/>
          <w:szCs w:val="20"/>
          <w:color w:val="auto"/>
        </w:rPr>
      </w:pPr>
      <w:r>
        <w:rPr>
          <w:rFonts w:ascii="Arial" w:cs="Arial" w:eastAsia="Arial" w:hAnsi="Arial"/>
          <w:sz w:val="17"/>
          <w:szCs w:val="17"/>
          <w:color w:val="auto"/>
        </w:rPr>
        <w:t>We have no manufacturing facilities, and all of our manufacturing activities are contracted out to third parties. Additionally, we currently utilize third-party clinical research organizations, or CROs, to carry out our clinical development and we do not have a sales organization.</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Operations Overview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5"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Our revenue to date has been generated primarily from recognition of license fees and research and development service funding pursuant to our collaboration agreements, the most significant of which is with Merck. Merck is also a significant stockholder and, as such, collaboration revenue from Merck is referred to as related party revenue. We have not generated any revenue from commercial product sales to date. We receive research and development funding pursuant to our Collaboration Agreement with Merck, and we may also be entitled to receive additional milestone and other contingent payments upon the occurrence of specific events. Due to the nature of this Collaboration Agreement and the nonlinearity of the related revenue recognition, our revenue has fluctuated from period to period in the past and we expect that it will continue to fluctuate in future periods.</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sources of our collaboration revenue for the three and six months ended June 30, 2019 and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tcBorders>
              <w:bottom w:val="single" w:sz="8" w:color="CFF0FC"/>
            </w:tcBorders>
            <w:vMerge w:val="continue"/>
          </w:tcPr>
          <w:p>
            <w:pPr>
              <w:spacing w:after="0"/>
              <w:rPr>
                <w:sz w:val="18"/>
                <w:szCs w:val="18"/>
                <w:color w:val="auto"/>
              </w:rPr>
            </w:pPr>
          </w:p>
        </w:tc>
        <w:tc>
          <w:tcPr>
            <w:tcW w:w="18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1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Recognition of upfront fee</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5,710</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4,700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11,402</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jc w:val="right"/>
              <w:ind w:right="1390"/>
              <w:spacing w:after="0"/>
              <w:rPr>
                <w:sz w:val="20"/>
                <w:szCs w:val="20"/>
                <w:color w:val="auto"/>
              </w:rPr>
            </w:pPr>
            <w:r>
              <w:rPr>
                <w:rFonts w:ascii="Arial" w:cs="Arial" w:eastAsia="Arial" w:hAnsi="Arial"/>
                <w:sz w:val="18"/>
                <w:szCs w:val="18"/>
                <w:color w:val="auto"/>
              </w:rPr>
              <w:t>Collaboration service revenue</w:t>
            </w:r>
          </w:p>
        </w:tc>
        <w:tc>
          <w:tcPr>
            <w:tcW w:w="18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19,631</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17,418</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39,491</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31,331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jc w:val="right"/>
              <w:ind w:right="1410"/>
              <w:spacing w:after="0"/>
              <w:rPr>
                <w:sz w:val="20"/>
                <w:szCs w:val="20"/>
                <w:color w:val="auto"/>
              </w:rPr>
            </w:pPr>
            <w:r>
              <w:rPr>
                <w:rFonts w:ascii="Arial" w:cs="Arial" w:eastAsia="Arial" w:hAnsi="Arial"/>
                <w:sz w:val="18"/>
                <w:szCs w:val="18"/>
                <w:color w:val="auto"/>
              </w:rPr>
              <w:t>Total related party revenue</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25,341</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22,118</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50,893</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40,731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0" w:type="dxa"/>
            <w:vAlign w:val="bottom"/>
            <w:vMerge w:val="restart"/>
          </w:tcPr>
          <w:p>
            <w:pPr>
              <w:jc w:val="right"/>
              <w:ind w:right="10"/>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2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5" w:lineRule="exact"/>
        <w:rPr>
          <w:sz w:val="20"/>
          <w:szCs w:val="20"/>
          <w:color w:val="auto"/>
        </w:rPr>
      </w:pPr>
    </w:p>
    <w:p>
      <w:pPr>
        <w:ind w:right="300" w:firstLine="518"/>
        <w:spacing w:after="0" w:line="245" w:lineRule="auto"/>
        <w:rPr>
          <w:sz w:val="20"/>
          <w:szCs w:val="20"/>
          <w:color w:val="auto"/>
        </w:rPr>
      </w:pPr>
      <w:r>
        <w:rPr>
          <w:rFonts w:ascii="Arial" w:cs="Arial" w:eastAsia="Arial" w:hAnsi="Arial"/>
          <w:sz w:val="18"/>
          <w:szCs w:val="18"/>
          <w:color w:val="auto"/>
        </w:rPr>
        <w:t>Research and development efforts relating to our product candidates include manufacturing drug substance, drug product and clinical trial material, conducting preclinical testing and clinical trials and providing support for these operations.</w:t>
      </w:r>
    </w:p>
    <w:p>
      <w:pPr>
        <w:spacing w:after="0" w:line="198"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Our research and development expenses consist of both internal and external costs. Our internal costs include employee, consultant, facility and other research and development operating expenses. Our external costs include fees paid to CROs and other service providers in connection with our clinical trials and preclinical studies, third party license fees and costs related to acquiring and manufacturing drug substance, drug product and clinical trial materials.</w:t>
      </w:r>
    </w:p>
    <w:p>
      <w:pPr>
        <w:spacing w:after="0" w:line="204"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Our clinical development efforts are focused on multiple programs. Our lead product candidate, aldafermin, is the subject of ongoing and planned Phase 2 clinical trials for NASH. We anticipate the majority of our financial resources outside of the Merck collaboration will be dedicated to the development of aldafermin for the foreseeable future, however, we may also devote financial resources to the development of our GDF15 receptor agonist program, or to other programs in the event Merck does not elect to license these programs upon completion of a proof-of-concept study, or in the event Merck elects to terminate its license to a program. Additionally, if our research and development expenses were to exceed the funding caps provided in our Collaboration Agreement with Merck, we could be required to devote our financial resources toward the development of those programs subject to the collaboration.</w:t>
      </w:r>
    </w:p>
    <w:p>
      <w:pPr>
        <w:spacing w:after="0" w:line="201"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The aldafermin clinical trials we have initiated or plan to initiate include: (1) a 24-week expansion cohort of aldafermin (cohort 4) under our ongoing Phase 2 protocol as a double-blind, placebo-controlled study of once-daily 1 mg aldafermin for the treatment of patients with fibrosis stage F2 or F3 NASH, (2) a Phase 2b clinical trial of aldafermin in a double-blind, placebo-controlled format testing 0.3 mg, 1 mg and 3 mg daily doses of aldafermin for 24 weeks for the treatment of patients with fibrosis stage F2 or F3 NASH and (3) a Phase 2b clinical trial of aldafermin for the treatment of NASH patients with early cirrhosis (F4 stage fibrosis). Significant portions of our research and development resources are focused on these clinical trials and other work needed to prepare aldafermin for regulatory approval for the treatment of NASH, including manufacturing of clinical trial material and preparation for Phase 3 testing of aldafermin in NASH.</w:t>
      </w:r>
    </w:p>
    <w:p>
      <w:pPr>
        <w:spacing w:after="0" w:line="201"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Our NGM313 product candidate has completed single ascending dose and multiple ascending dose Phase 1 testing in overweight or obese but otherwise healthy adults, as well as a Phase 1b study in obese insulin resistant subjects with nonalcoholic fatty liver disease, or NAFLD. Merck exercised its option to license the NGM313 program, and all future development expenses will be paid for by Merck unless we elect to exercise our worldwide cost and profit sharing option at the commencement of Phase 3 testing, at which point we would be responsible for a portion of the future development expense.</w:t>
      </w:r>
    </w:p>
    <w:p>
      <w:pPr>
        <w:spacing w:after="0" w:line="206"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We have initiated Phase 1 clinical trials for NGM120, NGM217 and NGM621, each of which is subject to reimbursement under our Merck collaboration up to the funding caps provided in the agreement. We recently completed a Phase 1 trial assessing the safety, tolerability and pharmacokinetics of NGM120. Later this year, we are planning to initiate a Phase 1a/1b clinical study with NGM120 in cancer patients to explore its potential to treat cancer anorexia-cachexia syndrome and, possibly, cancer. Merck has a one-time option to license NGM120 following completion of a proof-of-concept study in humans.</w:t>
      </w:r>
    </w:p>
    <w:p>
      <w:pPr>
        <w:spacing w:after="0" w:line="206"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We are also conducting a Phase 1 clinical trial with NGM217 to assess safety and tolerability and to inform dose-range finding for future studies. Thereafter, we plan to commence a Phase 1b/2a proof-of-concept study in diabetic patients to assess the ability of the agent to increase insulin production by the pancreas. Merck has a one-time option to license NGM217 following completion of a proof-of-concept study in humans.</w:t>
      </w:r>
    </w:p>
    <w:p>
      <w:pPr>
        <w:spacing w:after="0" w:line="204"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We initiated a Phase 1 clinical trial of NGM621 in the second half of 2019. We expect the Phase 1 clinical trial will assess the safety and tolerability of up to two intravitreal injections of NGM621 in patients with the dry form of age-related macular degeneration. Merck has the option to license NGM621 following completion of a proof-of-concept study in humans.</w:t>
      </w:r>
    </w:p>
    <w:p>
      <w:pPr>
        <w:spacing w:after="0" w:line="202" w:lineRule="exact"/>
        <w:rPr>
          <w:sz w:val="20"/>
          <w:szCs w:val="20"/>
          <w:color w:val="auto"/>
        </w:rPr>
      </w:pPr>
    </w:p>
    <w:p>
      <w:pPr>
        <w:ind w:right="220" w:firstLine="518"/>
        <w:spacing w:after="0" w:line="237" w:lineRule="auto"/>
        <w:rPr>
          <w:sz w:val="20"/>
          <w:szCs w:val="20"/>
          <w:color w:val="auto"/>
        </w:rPr>
      </w:pPr>
      <w:r>
        <w:rPr>
          <w:rFonts w:ascii="Arial" w:cs="Arial" w:eastAsia="Arial" w:hAnsi="Arial"/>
          <w:sz w:val="18"/>
          <w:szCs w:val="18"/>
          <w:color w:val="auto"/>
        </w:rPr>
        <w:t>NGM386 and NGM395 comprise our GDF15 receptor agonist program and both were licensed to Merck at the inception of our collaboration. Substantially all of the related research and development expenses for these programs were borne directly by Merck under our Collaboration Agreement. Merck terminated its license to the GDF15 receptor agonist program, effective May 31, 2019, and we regained full rights to NGM386 and NGM395. We may incur further research and development expenses following our assessment of the suitability of this program for further development.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33" w:name="page34"/>
    <w:bookmarkEnd w:id="33"/>
    <w:p>
      <w:pPr>
        <w:ind w:right="140" w:firstLine="518"/>
        <w:spacing w:after="0" w:line="245" w:lineRule="auto"/>
        <w:rPr>
          <w:sz w:val="20"/>
          <w:szCs w:val="20"/>
          <w:color w:val="auto"/>
        </w:rPr>
      </w:pPr>
      <w:r>
        <w:rPr>
          <w:rFonts w:ascii="Arial" w:cs="Arial" w:eastAsia="Arial" w:hAnsi="Arial"/>
          <w:sz w:val="18"/>
          <w:szCs w:val="18"/>
          <w:color w:val="auto"/>
        </w:rPr>
        <w:t>Our research and development expenses related to the development of aldafermin, NGM313, NGM120, NGM217 and NGM621 consist primarily of:</w:t>
      </w:r>
    </w:p>
    <w:p>
      <w:pPr>
        <w:spacing w:after="0" w:line="90" w:lineRule="exact"/>
        <w:rPr>
          <w:sz w:val="20"/>
          <w:szCs w:val="20"/>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w:t>
      </w:r>
    </w:p>
    <w:p>
      <w:pPr>
        <w:spacing w:after="0" w:line="103" w:lineRule="exact"/>
        <w:rPr>
          <w:rFonts w:ascii="Arial" w:cs="Arial" w:eastAsia="Arial" w:hAnsi="Arial"/>
          <w:sz w:val="18"/>
          <w:szCs w:val="18"/>
          <w:color w:val="auto"/>
        </w:rPr>
      </w:pPr>
    </w:p>
    <w:p>
      <w:pPr>
        <w:ind w:left="780" w:right="380" w:hanging="259"/>
        <w:spacing w:after="0" w:line="245"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including continued testing, such as process validation and stability, of drug substance and drug product;</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related studies;</w:t>
      </w:r>
    </w:p>
    <w:p>
      <w:pPr>
        <w:spacing w:after="0" w:line="103" w:lineRule="exact"/>
        <w:rPr>
          <w:rFonts w:ascii="Arial" w:cs="Arial" w:eastAsia="Arial" w:hAnsi="Arial"/>
          <w:sz w:val="18"/>
          <w:szCs w:val="18"/>
          <w:color w:val="auto"/>
        </w:rPr>
      </w:pPr>
    </w:p>
    <w:p>
      <w:pPr>
        <w:ind w:left="780" w:right="620" w:hanging="259"/>
        <w:spacing w:after="0" w:line="245"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research and development functions;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fees paid to consultants for research and development activities;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 and development operating expenses, including facility costs and depreciation expenses;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11"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The process of supplying materials for, and conducting, preclinical studies and clinical trials necessary to obtain regulatory approval of our product candidates is costly and time consuming. We may never succeed in achieving marketing approval for our product candidates. The success of each product candidate may be affected by numerous factors, including preclinical data, clinical data, competition, manufacturing capability, our sales capabilities, our ability to work effectively with our collaboration partners, regulatory matters, third-party payor matters and commercial viability.</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comparison of research and development expenses for the three and six months ended June 30, 2019 and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59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20" w:type="dxa"/>
            <w:vAlign w:val="bottom"/>
            <w:tcBorders>
              <w:bottom w:val="single" w:sz="8" w:color="CFF0FC"/>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Aldafermin (FGF19 analog)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5,934</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2,730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12,714</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NGM313 (FGFR1c/KLB agonist)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NGM386, NGM395 (GDF15 analogs)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NGM120 (GFRAL antagonist)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NGM217 (undisclosed)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NGM621 (undisclosed)</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20"/>
                <w:szCs w:val="20"/>
                <w:color w:val="auto"/>
              </w:rPr>
            </w:pPr>
            <w:r>
              <w:rPr>
                <w:rFonts w:ascii="Arial" w:cs="Arial" w:eastAsia="Arial" w:hAnsi="Arial"/>
                <w:sz w:val="18"/>
                <w:szCs w:val="18"/>
                <w:color w:val="auto"/>
              </w:rPr>
              <w:t>Total external research and development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10,350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19,968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Internal and unallocated research and development expenses</w:t>
            </w:r>
            <w:r>
              <w:rPr>
                <w:rFonts w:ascii="Arial" w:cs="Arial" w:eastAsia="Arial" w:hAnsi="Arial"/>
                <w:sz w:val="15"/>
                <w:szCs w:val="15"/>
                <w:color w:val="auto"/>
              </w:rPr>
              <w:t>(1)</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18,469</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15,224</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38,378</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28,819</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22,846</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58,346</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77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168" w:lineRule="exact"/>
        <w:rPr>
          <w:sz w:val="20"/>
          <w:szCs w:val="20"/>
          <w:color w:val="auto"/>
        </w:rPr>
      </w:pPr>
    </w:p>
    <w:p>
      <w:pPr>
        <w:ind w:left="520" w:right="580" w:hanging="512"/>
        <w:spacing w:after="0" w:line="245"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Internal and unallocated research and development expenses consist primarily of employee compensation, research supplies and consulting fees, which we deploy across multiple research and development programs.</w:t>
      </w:r>
    </w:p>
    <w:p>
      <w:pPr>
        <w:spacing w:after="0" w:line="198"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or the period, if any, in which material net cash inflows from these product candidates may commence. This is due to the numerous risks and uncertainties associated with developing drugs, including the uncertainty of:</w:t>
      </w:r>
    </w:p>
    <w:p>
      <w:pPr>
        <w:spacing w:after="0" w:line="96" w:lineRule="exact"/>
        <w:rPr>
          <w:sz w:val="20"/>
          <w:szCs w:val="20"/>
          <w:color w:val="auto"/>
        </w:rPr>
      </w:pPr>
    </w:p>
    <w:p>
      <w:pPr>
        <w:ind w:left="780" w:hanging="25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Merck will elect to license or terminate its license to any of our programs and the timing of such election or termination;</w:t>
      </w:r>
    </w:p>
    <w:p>
      <w:pPr>
        <w:spacing w:after="0" w:line="103" w:lineRule="exact"/>
        <w:rPr>
          <w:rFonts w:ascii="Arial" w:cs="Arial" w:eastAsia="Arial" w:hAnsi="Arial"/>
          <w:sz w:val="18"/>
          <w:szCs w:val="18"/>
          <w:color w:val="auto"/>
        </w:rPr>
      </w:pPr>
    </w:p>
    <w:p>
      <w:pPr>
        <w:ind w:left="780" w:right="560" w:hanging="259"/>
        <w:spacing w:after="0" w:line="245"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additional, clinical trials and other research and development activities; and</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4" w:name="page35"/>
    <w:bookmarkEnd w:id="34"/>
    <w:p>
      <w:pPr>
        <w:ind w:right="20" w:firstLine="518"/>
        <w:spacing w:after="0" w:line="237" w:lineRule="auto"/>
        <w:rPr>
          <w:sz w:val="20"/>
          <w:szCs w:val="20"/>
          <w:color w:val="auto"/>
        </w:rPr>
      </w:pPr>
      <w:r>
        <w:rPr>
          <w:rFonts w:ascii="Arial" w:cs="Arial" w:eastAsia="Arial" w:hAnsi="Arial"/>
          <w:sz w:val="18"/>
          <w:szCs w:val="18"/>
          <w:color w:val="auto"/>
        </w:rPr>
        <w:t>A change in the outcome of any of the risks and uncertainties associated with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5" w:lineRule="exact"/>
        <w:rPr>
          <w:sz w:val="20"/>
          <w:szCs w:val="20"/>
          <w:color w:val="auto"/>
        </w:rPr>
      </w:pPr>
    </w:p>
    <w:p>
      <w:pPr>
        <w:jc w:val="both"/>
        <w:ind w:right="220" w:firstLine="518"/>
        <w:spacing w:after="0"/>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Other significant costs include legal fees relating to patent and corporate matters, facility costs not otherwise included in research and development expenses and fees for accounting and other consulting services.</w:t>
      </w:r>
    </w:p>
    <w:p>
      <w:pPr>
        <w:spacing w:after="0" w:line="202"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potential commercialization of our product candidates.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Nasdaq listing rules and related SEC requirements and insurance and investor relations costs. In addition, we may incur expenses associated with building a commercial organization in connection with, and prior to, potential future regulatory approval of our product candidates.</w:t>
      </w:r>
    </w:p>
    <w:p>
      <w:pPr>
        <w:spacing w:after="0" w:line="182"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2019 and 2018</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and six months ended June 30, 2019 and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Change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220" w:type="dxa"/>
            <w:vAlign w:val="bottom"/>
            <w:vMerge w:val="restart"/>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xml:space="preserve">Change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CFF0FC"/>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CFF0FC"/>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FF0FC"/>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50,893</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40,731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22,846</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2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35,048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26,304</w:t>
            </w:r>
          </w:p>
        </w:tc>
        <w:tc>
          <w:tcPr>
            <w:tcW w:w="2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8,744</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(9,707)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(4,186)</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(19,049)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(8,901)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4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(7,669)</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(3,200)</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(15,937)</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(7,141)</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340" w:firstLine="518"/>
        <w:spacing w:after="0" w:line="253" w:lineRule="auto"/>
        <w:rPr>
          <w:sz w:val="20"/>
          <w:szCs w:val="20"/>
          <w:color w:val="auto"/>
        </w:rPr>
      </w:pPr>
      <w:r>
        <w:rPr>
          <w:rFonts w:ascii="Arial" w:cs="Arial" w:eastAsia="Arial" w:hAnsi="Arial"/>
          <w:sz w:val="18"/>
          <w:szCs w:val="18"/>
          <w:b w:val="1"/>
          <w:bCs w:val="1"/>
          <w:i w:val="1"/>
          <w:iCs w:val="1"/>
          <w:color w:val="auto"/>
        </w:rPr>
        <w:t xml:space="preserve">Related Party Revenue. </w:t>
      </w:r>
      <w:r>
        <w:rPr>
          <w:rFonts w:ascii="Arial" w:cs="Arial" w:eastAsia="Arial" w:hAnsi="Arial"/>
          <w:sz w:val="18"/>
          <w:szCs w:val="18"/>
          <w:color w:val="auto"/>
        </w:rPr>
        <w:t>Related party revenue was $ 25.3 million and $22.1 million for the three months ended June 30, 2019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respectively. The increase of $3.2 million in revenue was primarily due to $1.0 million recognized on the adoption of ASC 606, $1.2 million for increased reimbursable research personnel costs and $1.0 million for increased reimbursable research and development costs.</w:t>
      </w:r>
    </w:p>
    <w:p>
      <w:pPr>
        <w:spacing w:after="0" w:line="258"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For the six months ended June 30, 2019 and 2018, related party revenue was $50.9 million and $40.7 million, respectively. The increase of $10.2 million in revenue was primarily due to $2.0 million recognized on the adoption of ASC 606, $2.9 million for increased reimbursable research personnel costs, $ 5.1 million increase in reimbursable research and development costs and $0.3 million for increased costs associated with maintaining our intellectual property rights.</w:t>
      </w:r>
    </w:p>
    <w:p>
      <w:pPr>
        <w:spacing w:after="0" w:line="182" w:lineRule="exact"/>
        <w:rPr>
          <w:sz w:val="20"/>
          <w:szCs w:val="20"/>
          <w:color w:val="auto"/>
        </w:rPr>
      </w:pPr>
    </w:p>
    <w:p>
      <w:pPr>
        <w:ind w:right="160" w:firstLine="518"/>
        <w:spacing w:after="0" w:line="241"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expenses were $28.8 million and $22.8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2019 and 2018, respectively. The increase in research and development expenses of $6.0 million was primarily attributable to an increase of $3.2 million in unallocated research and development expenses primarily related to hiring and personnel-related expenses and early research testing and $4.1 million in external expenses primarily related to clinical trials and CRO costs for our aldafermin and NGM120 programs. These increases were partially offset by a decrease of $1.3 million in other program external expenses resulting from timing of clinical trial activities and lower manufacturing costs of clinical materials.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5" w:name="page36"/>
    <w:bookmarkEnd w:id="35"/>
    <w:p>
      <w:pPr>
        <w:ind w:right="260" w:firstLine="518"/>
        <w:spacing w:after="0" w:line="236" w:lineRule="auto"/>
        <w:rPr>
          <w:sz w:val="20"/>
          <w:szCs w:val="20"/>
          <w:color w:val="auto"/>
        </w:rPr>
      </w:pPr>
      <w:r>
        <w:rPr>
          <w:rFonts w:ascii="Arial" w:cs="Arial" w:eastAsia="Arial" w:hAnsi="Arial"/>
          <w:sz w:val="18"/>
          <w:szCs w:val="18"/>
          <w:color w:val="auto"/>
        </w:rPr>
        <w:t>For the six months ended June 30, 2019 and 2018, research and development expenses were $58.3 million and $42.3 million, respectively. The increase in research and development expenses of $16.0 million was primarily attributable to an increase of $8.7 million in unallocated research and development expenses primarily related to hiring and personnel-related expenses and early research testing, $3.0 million for the acquisition of clinical trial materials and $5.5 million in external expenses primarily related to clinical trial and CRO costs for aldafermin, NGM120 and NGM621 programs. These increases were partially offset by a decrease of $1.2 million in other program external expenses resulting from timing of clinical trial activities and lower manufacturing costs of clinical materials. We expect our research and development expenses to increase substantially in connection with our ongoing activities, particularly to the extent that product candidates whose costs are not borne by our collaborator, such as aldafermin and, possibly, NGM386 and NGM395, advance in clinical development.</w:t>
      </w:r>
    </w:p>
    <w:p>
      <w:pPr>
        <w:spacing w:after="0" w:line="184"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$6.2 million and $3.5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2019 and 2018, respectively. The increase in general and administrative expenses of $2.7 million was primarily due to an increase of $1.3 million in personnel-related expenses, $0.6 million for legal and accounting expenses and $0.8 million for consulting expenses.</w:t>
      </w:r>
    </w:p>
    <w:p>
      <w:pPr>
        <w:spacing w:after="0" w:line="190"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For the six months ended June 30, 2019 and 2018, general and administrative expenses were $11.6 million and $7.3 million, respectively. The increase in general and administrative expenses of $4.3 million was primarily due to an increase of $1.8 million in personnel-related expenses, $1.5 million for legal and accounting expenses and $1.0 million for consulting expenses. We anticipate general and administrative expenses will increase with expansion of support resources.</w:t>
      </w:r>
    </w:p>
    <w:p>
      <w:pPr>
        <w:spacing w:after="0" w:line="182" w:lineRule="exact"/>
        <w:rPr>
          <w:sz w:val="20"/>
          <w:szCs w:val="20"/>
          <w:color w:val="auto"/>
        </w:rPr>
      </w:pPr>
    </w:p>
    <w:p>
      <w:pPr>
        <w:ind w:right="40" w:firstLine="518"/>
        <w:spacing w:after="0" w:line="246"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was $2.0 million and $0.9 million for the three months ended June 30, 2019 and 2018, respectively and $3.2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$1.6 million for the six months ended June 30, 2019 and 2018, respectively. The increase in interest income was primarily attributable to higher yields on our available-for-sale marketable securities and an increase in our cash and investments balance subsequent to the completion of our IPO in April 2019.</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and Capital Resources</w:t>
      </w:r>
    </w:p>
    <w:p>
      <w:pPr>
        <w:spacing w:after="0" w:line="233" w:lineRule="exact"/>
        <w:rPr>
          <w:sz w:val="20"/>
          <w:szCs w:val="20"/>
          <w:color w:val="auto"/>
        </w:rPr>
      </w:pPr>
    </w:p>
    <w:p>
      <w:pPr>
        <w:ind w:right="20" w:firstLine="518"/>
        <w:spacing w:after="0" w:line="234" w:lineRule="auto"/>
        <w:rPr>
          <w:sz w:val="20"/>
          <w:szCs w:val="20"/>
          <w:color w:val="auto"/>
        </w:rPr>
      </w:pPr>
      <w:r>
        <w:rPr>
          <w:rFonts w:ascii="Arial" w:cs="Arial" w:eastAsia="Arial" w:hAnsi="Arial"/>
          <w:sz w:val="18"/>
          <w:szCs w:val="18"/>
          <w:color w:val="auto"/>
        </w:rPr>
        <w:t>We have incurred losses and negative cash flows from operating activities since our inception. As of June 30, 2019, our operations have been financed primarily through the private placement of convertible preferred stock totaling $295.1 million, upfront license fees paid by collaboration partners of $ 123.0 million, the license of NGM313 and related compounds to Merck for $20.0 million and research and development service fees provided by collaboration partners of $284.6 million. In April 2019, we completed our IPO and issued an aggregate of 7,521,394 shares of common stock, which included 6,666,667 shares of common shares and 854,727 shares of common stock sold pursuant to the underwriters’ exercise of their option to purchase additional shares, at an offering price of $16.00 per share. We received $ 107.8 million, net of underwriting discounts, commissions and offering expenses. We concurrently completed a private placement of 4,121,683 common shares to Merck at a price of $16.00 per share, for proceeds of $ 65.9 million. As of June 30, 2019, we had cash and cash equivalents of $265.1 million, short-term marketable securities of $97.1 million, working capital (excluding deferred revenue) of $347.1 million and an accumulated deficit of $169.3 million, compared to cash and cash equivalents of $56.9 million, short-term marketable securities of</w:t>
      </w:r>
    </w:p>
    <w:p>
      <w:pPr>
        <w:spacing w:after="0" w:line="5"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$149.7 million, working capital (excluding deferred revenue) of $192.1 million and an accumulated deficit of $147.2 million at December 31, 2018.</w:t>
      </w:r>
    </w:p>
    <w:p>
      <w:pPr>
        <w:spacing w:after="0" w:line="198" w:lineRule="exact"/>
        <w:rPr>
          <w:sz w:val="20"/>
          <w:szCs w:val="20"/>
          <w:color w:val="auto"/>
        </w:rPr>
      </w:pPr>
    </w:p>
    <w:p>
      <w:pPr>
        <w:ind w:right="100" w:firstLine="518"/>
        <w:spacing w:after="0" w:line="235" w:lineRule="auto"/>
        <w:rPr>
          <w:sz w:val="20"/>
          <w:szCs w:val="20"/>
          <w:color w:val="auto"/>
        </w:rPr>
      </w:pPr>
      <w:r>
        <w:rPr>
          <w:rFonts w:ascii="Arial" w:cs="Arial" w:eastAsia="Arial" w:hAnsi="Arial"/>
          <w:sz w:val="18"/>
          <w:szCs w:val="18"/>
          <w:color w:val="auto"/>
        </w:rPr>
        <w:t>We anticipate that we will continue to incur net losses for the foreseeable future as we continue the development of our product candidates, expand our corporate infrastructure, including the costs associated with becoming a public company, and conduct pre-commercialization activities. We will require substantial additional capital to achieve our development and commercialization goals for aldafermin, for any Merck licensed programs that we opt to co-develop for any programs that Merck does not opt to develop and that we choose to develop and for any programs for which Merck elects to terminate its license, including NGM386 and NGM395, for which Merck has terminated its license and that we are considering whether to advance pending study results. If our Merck collaboration were to be terminated, we could require significant additional capital in order to proceed with development and commercialization of our product candidates, or we may require additional partnering in order to help fund such development and commercialization. We plan to continue to fund our operations and capital funding needs through public or private equity or debt financings, government or other third-party funding, collaborations, strategic alliances and licensing arrangements or a combination of these. The sale of convertible debt or additional equity could result in additional dilution to our stockholders. Incurring indebtedness would result in debt service obligations and could result in operating and financing covenants that would restrict our operations. We cannot assure you that financing will be available in the amounts we need or on terms acceptable to us, if at all. If we are not able to secure adequate additional funding, we may be forced to make reductions in spending, extend payment terms with suppliers, liquidate assets where possible and/or suspend or curtail planned programs. Any of these actions could materially harm our business, results of operations and future prospects.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0" w:right="259" w:bottom="1440" w:gutter="0" w:footer="0" w:header="0"/>
        </w:sectPr>
      </w:pPr>
    </w:p>
    <w:bookmarkStart w:id="36" w:name="page37"/>
    <w:bookmarkEnd w:id="36"/>
    <w:p>
      <w:pPr>
        <w:ind w:right="260" w:firstLine="518"/>
        <w:spacing w:after="0" w:line="238" w:lineRule="auto"/>
        <w:rPr>
          <w:sz w:val="20"/>
          <w:szCs w:val="20"/>
          <w:color w:val="auto"/>
        </w:rPr>
      </w:pPr>
      <w:r>
        <w:rPr>
          <w:rFonts w:ascii="Arial" w:cs="Arial" w:eastAsia="Arial" w:hAnsi="Arial"/>
          <w:sz w:val="18"/>
          <w:szCs w:val="18"/>
          <w:color w:val="auto"/>
        </w:rPr>
        <w:t>We believe that our existing cash and cash equivalents, along with amounts available to us under our Collaboration Agreement with Merck will be sufficient to meet our anticipated cash requirements for at least the next 12 months. However, our forecast of the period of time through which our financial resources will be adequate to support our operations is a forward-looking statement that involves risks and uncertainties, and actual results could vary materially.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00" w:type="dxa"/>
            <w:vAlign w:val="bottom"/>
          </w:tcPr>
          <w:p>
            <w:pPr>
              <w:spacing w:after="0"/>
              <w:rPr>
                <w:sz w:val="20"/>
                <w:szCs w:val="20"/>
                <w:color w:val="auto"/>
              </w:rPr>
            </w:pPr>
          </w:p>
        </w:tc>
        <w:tc>
          <w:tcPr>
            <w:tcW w:w="3880" w:type="dxa"/>
            <w:vAlign w:val="bottom"/>
            <w:gridSpan w:val="2"/>
          </w:tcPr>
          <w:p>
            <w:pPr>
              <w:jc w:val="right"/>
              <w:ind w:right="1960"/>
              <w:spacing w:after="0"/>
              <w:rPr>
                <w:sz w:val="20"/>
                <w:szCs w:val="20"/>
                <w:color w:val="auto"/>
              </w:rPr>
            </w:pPr>
            <w:r>
              <w:rPr>
                <w:rFonts w:ascii="Arial" w:cs="Arial" w:eastAsia="Arial" w:hAnsi="Arial"/>
                <w:sz w:val="18"/>
                <w:szCs w:val="18"/>
                <w:b w:val="1"/>
                <w:bCs w:val="1"/>
                <w:color w:val="auto"/>
              </w:rPr>
              <w:t>Cash Flows</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40" w:type="dxa"/>
            <w:vAlign w:val="bottom"/>
            <w:gridSpan w:val="6"/>
          </w:tcPr>
          <w:p>
            <w:pPr>
              <w:ind w:left="520"/>
              <w:spacing w:after="0"/>
              <w:rPr>
                <w:sz w:val="20"/>
                <w:szCs w:val="20"/>
                <w:color w:val="auto"/>
              </w:rPr>
            </w:pPr>
            <w:r>
              <w:rPr>
                <w:rFonts w:ascii="Arial" w:cs="Arial" w:eastAsia="Arial" w:hAnsi="Arial"/>
                <w:sz w:val="18"/>
                <w:szCs w:val="18"/>
                <w:color w:val="auto"/>
              </w:rPr>
              <w:t>The following table shows a summary of our cash flows for the six months ended June 30, 2019 and 2018 (in thousands):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43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00" w:type="dxa"/>
            <w:vAlign w:val="bottom"/>
            <w:tcBorders>
              <w:bottom w:val="single" w:sz="8" w:color="CFF0FC"/>
            </w:tcBorders>
            <w:vMerge w:val="continue"/>
          </w:tcPr>
          <w:p>
            <w:pPr>
              <w:spacing w:after="0"/>
              <w:rPr>
                <w:sz w:val="18"/>
                <w:szCs w:val="18"/>
                <w:color w:val="auto"/>
              </w:rPr>
            </w:pPr>
          </w:p>
        </w:tc>
        <w:tc>
          <w:tcPr>
            <w:tcW w:w="35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3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3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(19,877)</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(8,754)</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3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51,491</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35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176,535</w:t>
            </w:r>
          </w:p>
        </w:tc>
        <w:tc>
          <w:tcPr>
            <w:tcW w:w="2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3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208,149</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35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2019, cash used in operating activities was $19.9 million, which consisted of a net loss of</w:t>
      </w:r>
    </w:p>
    <w:p>
      <w:pPr>
        <w:spacing w:after="0" w:line="234" w:lineRule="auto"/>
        <w:rPr>
          <w:sz w:val="20"/>
          <w:szCs w:val="20"/>
          <w:color w:val="auto"/>
        </w:rPr>
      </w:pPr>
      <w:r>
        <w:rPr>
          <w:rFonts w:ascii="Arial" w:cs="Arial" w:eastAsia="Arial" w:hAnsi="Arial"/>
          <w:sz w:val="18"/>
          <w:szCs w:val="18"/>
          <w:color w:val="auto"/>
        </w:rPr>
        <w:t>$15.9 million, adjusted for non-cash charges of $9.4 million and cash used through changes in operating assets and liabilities of $13.4 million.</w:t>
      </w:r>
    </w:p>
    <w:p>
      <w:pPr>
        <w:spacing w:after="0" w:line="235" w:lineRule="auto"/>
        <w:rPr>
          <w:sz w:val="20"/>
          <w:szCs w:val="20"/>
          <w:color w:val="auto"/>
        </w:rPr>
      </w:pPr>
      <w:r>
        <w:rPr>
          <w:rFonts w:ascii="Arial" w:cs="Arial" w:eastAsia="Arial" w:hAnsi="Arial"/>
          <w:sz w:val="18"/>
          <w:szCs w:val="18"/>
          <w:color w:val="auto"/>
        </w:rPr>
        <w:t>The non-cash charges consisted primarily of stock-based compensation expense of $6.3 million and depreciation expense of $3.9 million. The</w:t>
      </w:r>
    </w:p>
    <w:p>
      <w:pPr>
        <w:spacing w:after="0" w:line="234" w:lineRule="auto"/>
        <w:rPr>
          <w:sz w:val="20"/>
          <w:szCs w:val="20"/>
          <w:color w:val="auto"/>
        </w:rPr>
      </w:pPr>
      <w:r>
        <w:rPr>
          <w:rFonts w:ascii="Arial" w:cs="Arial" w:eastAsia="Arial" w:hAnsi="Arial"/>
          <w:sz w:val="18"/>
          <w:szCs w:val="18"/>
          <w:color w:val="auto"/>
        </w:rPr>
        <w:t>change in operating assets and liabilities was primarily due to a decrease in accounts receivable from related party collaboration revenue of</w:t>
      </w:r>
    </w:p>
    <w:p>
      <w:pPr>
        <w:spacing w:after="0" w:line="235" w:lineRule="auto"/>
        <w:rPr>
          <w:sz w:val="20"/>
          <w:szCs w:val="20"/>
          <w:color w:val="auto"/>
        </w:rPr>
      </w:pPr>
      <w:r>
        <w:rPr>
          <w:rFonts w:ascii="Arial" w:cs="Arial" w:eastAsia="Arial" w:hAnsi="Arial"/>
          <w:sz w:val="18"/>
          <w:szCs w:val="18"/>
          <w:color w:val="auto"/>
        </w:rPr>
        <w:t>$2.8 million, increase in prepaid expenses and other current assets of $1.9 million, decrease in accounts payable of $2.5 million, increase in</w:t>
      </w:r>
    </w:p>
    <w:p>
      <w:pPr>
        <w:spacing w:after="0" w:line="235" w:lineRule="auto"/>
        <w:rPr>
          <w:sz w:val="20"/>
          <w:szCs w:val="20"/>
          <w:color w:val="auto"/>
        </w:rPr>
      </w:pPr>
      <w:r>
        <w:rPr>
          <w:rFonts w:ascii="Arial" w:cs="Arial" w:eastAsia="Arial" w:hAnsi="Arial"/>
          <w:sz w:val="18"/>
          <w:szCs w:val="18"/>
          <w:color w:val="auto"/>
        </w:rPr>
        <w:t>accrued expenses and other liabilities of $1.2 million and decreases in deferred rent and deferred revenue of $1.3 million and $11.7 million,</w:t>
      </w:r>
    </w:p>
    <w:p>
      <w:pPr>
        <w:spacing w:after="0" w:line="234" w:lineRule="auto"/>
        <w:rPr>
          <w:sz w:val="20"/>
          <w:szCs w:val="20"/>
          <w:color w:val="auto"/>
        </w:rPr>
      </w:pPr>
      <w:r>
        <w:rPr>
          <w:rFonts w:ascii="Arial" w:cs="Arial" w:eastAsia="Arial" w:hAnsi="Arial"/>
          <w:sz w:val="18"/>
          <w:szCs w:val="18"/>
          <w:color w:val="auto"/>
        </w:rPr>
        <w:t>respectively. The decrease in deferred revenue is primarily attributed to changes in revenue from the adoption of ASC 606 and the timing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advance payments from Merck related to the reimbursement of costs associated with research and development activities.</w:t>
      </w:r>
    </w:p>
    <w:p>
      <w:pPr>
        <w:spacing w:after="0" w:line="211" w:lineRule="exact"/>
        <w:rPr>
          <w:sz w:val="20"/>
          <w:szCs w:val="20"/>
          <w:color w:val="auto"/>
        </w:rPr>
      </w:pPr>
    </w:p>
    <w:p>
      <w:pPr>
        <w:ind w:right="220" w:firstLine="518"/>
        <w:spacing w:after="0" w:line="237" w:lineRule="auto"/>
        <w:rPr>
          <w:sz w:val="20"/>
          <w:szCs w:val="20"/>
          <w:color w:val="auto"/>
        </w:rPr>
      </w:pPr>
      <w:r>
        <w:rPr>
          <w:rFonts w:ascii="Arial" w:cs="Arial" w:eastAsia="Arial" w:hAnsi="Arial"/>
          <w:sz w:val="18"/>
          <w:szCs w:val="18"/>
          <w:color w:val="auto"/>
        </w:rPr>
        <w:t>During the six months ended June 30, 2018, cash used in operating activities was $8.8 million, which consisted of a net loss of $7.1 million, adjusted for non-cash charges of $7.8 million and cash used through changes in operating assets and liabilities of $9.4 million. The non-cash charges consisted primarily of stock-based compensation expense of $4.5 million and depreciation expense of $3.5 million. The change in operating assets and liabilities was primarily due to a decrease in deferred revenue of $9.9 million due to the recognition of upfront license fees from Merck and the timing of advance payments from Merck related to the reimbursement of costs associated with research and development activities. This was partially offset by an increase in accounts payable of $2.1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Investing Activities</w:t>
      </w:r>
    </w:p>
    <w:p>
      <w:pPr>
        <w:spacing w:after="0" w:line="125"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During the six months ended June 30, 2019, cash provided by investing activities was $51.5 million, which consisted of $129.0 million in proceeds from the maturities of marketable securities, partially offset by purchases of marketable securities of $75.2 million and purchases of property and equipment of $2.3 million.</w:t>
      </w:r>
    </w:p>
    <w:p>
      <w:pPr>
        <w:spacing w:after="0" w:line="202" w:lineRule="exact"/>
        <w:rPr>
          <w:sz w:val="20"/>
          <w:szCs w:val="20"/>
          <w:color w:val="auto"/>
        </w:rPr>
      </w:pPr>
    </w:p>
    <w:p>
      <w:pPr>
        <w:jc w:val="both"/>
        <w:ind w:right="220" w:firstLine="518"/>
        <w:spacing w:after="0"/>
        <w:rPr>
          <w:sz w:val="20"/>
          <w:szCs w:val="20"/>
          <w:color w:val="auto"/>
        </w:rPr>
      </w:pPr>
      <w:r>
        <w:rPr>
          <w:rFonts w:ascii="Arial" w:cs="Arial" w:eastAsia="Arial" w:hAnsi="Arial"/>
          <w:sz w:val="18"/>
          <w:szCs w:val="18"/>
          <w:color w:val="auto"/>
        </w:rPr>
        <w:t>During the six months ended June 30, 2018, cash provided by investing activities was $22.0 million, which consisted of $97.3 million in proceeds from the maturities of marketable securities, partially offset by purchases of marketable securities of $70.2 million and purchases of property and equipment of $5.1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25"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During the six months ended June 30, 2019, cash provided by financing activities was $176.5 million, which consisted of net proceeds from issuance of common stock upon completion of our IPO of $110.1 million, issuance of common stock upon completion of the private placement with Merck of $65.9 million and the issuance of common stock upon the exercise of previously granted stock options of $0.5 million. The net proceeds from the completion of the IPO of $110.1 million were comprised of our proceeds of $111.9 million, after deducting underwriting discounts and commissions, less offering expenses of $4.1 million, of which $2.3 million was paid in 2018.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7" w:name="page38"/>
    <w:bookmarkEnd w:id="37"/>
    <w:p>
      <w:pPr>
        <w:ind w:right="320" w:firstLine="518"/>
        <w:spacing w:after="0"/>
        <w:rPr>
          <w:sz w:val="20"/>
          <w:szCs w:val="20"/>
          <w:color w:val="auto"/>
        </w:rPr>
      </w:pPr>
      <w:r>
        <w:rPr>
          <w:rFonts w:ascii="Arial" w:cs="Arial" w:eastAsia="Arial" w:hAnsi="Arial"/>
          <w:sz w:val="18"/>
          <w:szCs w:val="18"/>
          <w:color w:val="auto"/>
        </w:rPr>
        <w:t>During the six months ended June 30, 2018, cash provided by financing activities was $49,000, which consisted of proceeds from the issuance of common stock upon the exercise of previously granted stock options of $0.2 million less repurchases of common stock of $0.2 million.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33" w:lineRule="exact"/>
        <w:rPr>
          <w:sz w:val="20"/>
          <w:szCs w:val="20"/>
          <w:color w:val="auto"/>
        </w:rPr>
      </w:pPr>
    </w:p>
    <w:p>
      <w:pPr>
        <w:jc w:val="both"/>
        <w:ind w:right="40" w:firstLine="518"/>
        <w:spacing w:after="0"/>
        <w:rPr>
          <w:sz w:val="20"/>
          <w:szCs w:val="20"/>
          <w:color w:val="auto"/>
        </w:rPr>
      </w:pPr>
      <w:r>
        <w:rPr>
          <w:rFonts w:ascii="Arial" w:cs="Arial" w:eastAsia="Arial" w:hAnsi="Arial"/>
          <w:sz w:val="18"/>
          <w:szCs w:val="18"/>
          <w:color w:val="auto"/>
        </w:rPr>
        <w:t>We have not entered into and do not have any relationships with unconsolidated entities or financial collaborations, such as entities often referred to as structured finance or special purpose entities, which would have been established for the purpose of facilitating off-balance sheet arrangements or other contractually narrow or limited purpose.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33" w:lineRule="exact"/>
        <w:rPr>
          <w:sz w:val="20"/>
          <w:szCs w:val="20"/>
          <w:color w:val="auto"/>
        </w:rPr>
      </w:pPr>
    </w:p>
    <w:p>
      <w:pPr>
        <w:ind w:right="100" w:firstLine="518"/>
        <w:spacing w:after="0" w:line="245" w:lineRule="auto"/>
        <w:rPr>
          <w:sz w:val="20"/>
          <w:szCs w:val="20"/>
          <w:color w:val="auto"/>
        </w:rPr>
      </w:pPr>
      <w:r>
        <w:rPr>
          <w:rFonts w:ascii="Arial" w:cs="Arial" w:eastAsia="Arial" w:hAnsi="Arial"/>
          <w:sz w:val="18"/>
          <w:szCs w:val="18"/>
          <w:color w:val="auto"/>
        </w:rPr>
        <w:t>Our principal obligations consist of the operating lease for our facilities and non-cancelable purchase commitments with contract manufacturers or service providers. The following table sets out, as of June 30, 2019, our contractual obligations due by period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9"/>
              </w:rPr>
              <w:t>Payments due by period</w:t>
            </w: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0"/>
        </w:trPr>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420"/>
              <w:spacing w:after="0" w:line="200" w:lineRule="exact"/>
              <w:rPr>
                <w:sz w:val="20"/>
                <w:szCs w:val="20"/>
                <w:color w:val="auto"/>
              </w:rPr>
            </w:pPr>
            <w:r>
              <w:rPr>
                <w:rFonts w:ascii="Arial" w:cs="Arial" w:eastAsia="Arial" w:hAnsi="Arial"/>
                <w:sz w:val="18"/>
                <w:szCs w:val="18"/>
                <w:b w:val="1"/>
                <w:bCs w:val="1"/>
                <w:color w:val="auto"/>
                <w:w w:val="99"/>
              </w:rPr>
              <w:t>Less than</w:t>
            </w:r>
          </w:p>
        </w:tc>
        <w:tc>
          <w:tcPr>
            <w:tcW w:w="260" w:type="dxa"/>
            <w:vAlign w:val="bottom"/>
          </w:tcPr>
          <w:p>
            <w:pPr>
              <w:spacing w:after="0"/>
              <w:rPr>
                <w:sz w:val="17"/>
                <w:szCs w:val="17"/>
                <w:color w:val="auto"/>
              </w:rPr>
            </w:pPr>
          </w:p>
        </w:tc>
        <w:tc>
          <w:tcPr>
            <w:tcW w:w="1280" w:type="dxa"/>
            <w:vAlign w:val="bottom"/>
            <w:gridSpan w:val="2"/>
          </w:tcPr>
          <w:p>
            <w:pPr>
              <w:ind w:left="140"/>
              <w:spacing w:after="0" w:line="200" w:lineRule="exact"/>
              <w:rPr>
                <w:sz w:val="20"/>
                <w:szCs w:val="20"/>
                <w:color w:val="auto"/>
              </w:rPr>
            </w:pPr>
            <w:r>
              <w:rPr>
                <w:rFonts w:ascii="Arial" w:cs="Arial" w:eastAsia="Arial" w:hAnsi="Arial"/>
                <w:sz w:val="18"/>
                <w:szCs w:val="18"/>
                <w:b w:val="1"/>
                <w:bCs w:val="1"/>
                <w:color w:val="auto"/>
              </w:rPr>
              <w:t>1 to 3</w:t>
            </w:r>
          </w:p>
        </w:tc>
        <w:tc>
          <w:tcPr>
            <w:tcW w:w="260" w:type="dxa"/>
            <w:vAlign w:val="bottom"/>
          </w:tcPr>
          <w:p>
            <w:pPr>
              <w:spacing w:after="0"/>
              <w:rPr>
                <w:sz w:val="17"/>
                <w:szCs w:val="17"/>
                <w:color w:val="auto"/>
              </w:rPr>
            </w:pPr>
          </w:p>
        </w:tc>
        <w:tc>
          <w:tcPr>
            <w:tcW w:w="1040" w:type="dxa"/>
            <w:vAlign w:val="bottom"/>
          </w:tcPr>
          <w:p>
            <w:pPr>
              <w:jc w:val="center"/>
              <w:ind w:right="170"/>
              <w:spacing w:after="0" w:line="200" w:lineRule="exact"/>
              <w:rPr>
                <w:sz w:val="20"/>
                <w:szCs w:val="20"/>
                <w:color w:val="auto"/>
              </w:rPr>
            </w:pPr>
            <w:r>
              <w:rPr>
                <w:rFonts w:ascii="Arial" w:cs="Arial" w:eastAsia="Arial" w:hAnsi="Arial"/>
                <w:sz w:val="18"/>
                <w:szCs w:val="18"/>
                <w:b w:val="1"/>
                <w:bCs w:val="1"/>
                <w:color w:val="auto"/>
                <w:w w:val="97"/>
              </w:rPr>
              <w:t>4 to 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460"/>
              <w:spacing w:after="0" w:line="200" w:lineRule="exact"/>
              <w:rPr>
                <w:sz w:val="20"/>
                <w:szCs w:val="20"/>
                <w:color w:val="auto"/>
              </w:rPr>
            </w:pPr>
            <w:r>
              <w:rPr>
                <w:rFonts w:ascii="Arial" w:cs="Arial" w:eastAsia="Arial" w:hAnsi="Arial"/>
                <w:sz w:val="18"/>
                <w:szCs w:val="18"/>
                <w:b w:val="1"/>
                <w:bCs w:val="1"/>
                <w:color w:val="auto"/>
                <w:w w:val="97"/>
              </w:rPr>
              <w:t>More than</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3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1 year</w:t>
            </w:r>
          </w:p>
        </w:tc>
        <w:tc>
          <w:tcPr>
            <w:tcW w:w="26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19"/>
                <w:szCs w:val="19"/>
                <w:color w:val="auto"/>
              </w:rPr>
            </w:pPr>
          </w:p>
        </w:tc>
        <w:tc>
          <w:tcPr>
            <w:tcW w:w="104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years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5 years</w:t>
            </w:r>
          </w:p>
        </w:tc>
        <w:tc>
          <w:tcPr>
            <w:tcW w:w="26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09"/>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Contractual obligations:</w:t>
            </w:r>
          </w:p>
        </w:tc>
        <w:tc>
          <w:tcPr>
            <w:tcW w:w="1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4,922</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15,656</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2,768</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23,346</w:t>
            </w:r>
          </w:p>
        </w:tc>
        <w:tc>
          <w:tcPr>
            <w:tcW w:w="120" w:type="dxa"/>
            <w:vAlign w:val="bottom"/>
          </w:tcPr>
          <w:p>
            <w:pPr>
              <w:spacing w:after="0"/>
              <w:rPr>
                <w:sz w:val="18"/>
                <w:szCs w:val="18"/>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2,768</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23,346</w:t>
            </w:r>
          </w:p>
        </w:tc>
        <w:tc>
          <w:tcPr>
            <w:tcW w:w="120" w:type="dxa"/>
            <w:vAlign w:val="bottom"/>
            <w:shd w:val="clear" w:color="auto" w:fill="CFF0FC"/>
          </w:tcPr>
          <w:p>
            <w:pPr>
              <w:spacing w:after="0"/>
              <w:rPr>
                <w:sz w:val="18"/>
                <w:szCs w:val="18"/>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77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168" w:lineRule="exact"/>
        <w:rPr>
          <w:sz w:val="20"/>
          <w:szCs w:val="20"/>
          <w:color w:val="auto"/>
        </w:rPr>
      </w:pPr>
    </w:p>
    <w:p>
      <w:pPr>
        <w:ind w:left="520" w:right="520" w:hanging="512"/>
        <w:spacing w:after="0" w:line="245"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our corporate headquarters lease encompassing approximately 122,000 square feet of office and laboratory space that expires in December 2023.</w:t>
      </w:r>
    </w:p>
    <w:p>
      <w:pPr>
        <w:spacing w:after="0" w:line="198"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We enter into agreements in the normal course of business with contract research organizations for clinical trials and with vendors for preclinical studies and other services and products for operating purposes that are cancelable at any time by us, generally upon 30 days’ prior written notice. These payments are not included in this table of contractual obligations.</w:t>
      </w:r>
    </w:p>
    <w:p>
      <w:pPr>
        <w:spacing w:after="0" w:line="202"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or in the contractual obligations table above.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3" w:lineRule="exact"/>
        <w:rPr>
          <w:sz w:val="20"/>
          <w:szCs w:val="20"/>
          <w:color w:val="auto"/>
        </w:rPr>
      </w:pPr>
    </w:p>
    <w:p>
      <w:pPr>
        <w:ind w:firstLine="518"/>
        <w:spacing w:after="0" w:line="251" w:lineRule="auto"/>
        <w:rPr>
          <w:sz w:val="20"/>
          <w:szCs w:val="20"/>
          <w:color w:val="auto"/>
        </w:rPr>
      </w:pPr>
      <w:r>
        <w:rPr>
          <w:rFonts w:ascii="Arial" w:cs="Arial" w:eastAsia="Arial" w:hAnsi="Arial"/>
          <w:sz w:val="17"/>
          <w:szCs w:val="17"/>
          <w:color w:val="auto"/>
        </w:rPr>
        <w:t>Our cash, cash equivalents and marketable securities as of June 30, 2019 consisted of readily available checking and money market funds, as well as available-for-sale securities. Our primary exposure to market risk is interest rate sensitivity, which is affected by changes in the general level of U.S. interest rates. However, because of the nature of the instruments in our portfolio, a sudden change in market interest rates would not be expected to have a material impact on our financial condition or results of operations. We believe that our exposure to interest rate risks is not significant and that a hypothetical 10% movement in market interest rates would not have a significant impact on the total value of our portfolio or our interest income. We do not believe that our cash, cash equivalents or marketable securities have significant risk of default or illiquidity. While we believe our cash, cash equivalents and marketable securities do not contain excessive risk, we cannot provide absolute assurance that in the future our investments will not be subject to adverse changes in market value. In addition, we maintain significant amounts of cash, cash equivalents and marketable securities at one or more financial institutions that are in excess of federally insured limits.</w:t>
      </w:r>
    </w:p>
    <w:p>
      <w:pPr>
        <w:spacing w:after="0" w:line="197"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We are also exposed to market risk related to changes in foreign currency exchange rates, mainly relating to our Australian subsidiary. In addition, we contract with vendors that are located in Asia and Europe, and the payments under such contracts are denominated in foreign currencies. We are subject to fluctuations in foreign currency rates in connection with these agreements. We do not currently hedge our foreign currency exchange rate risk. As of June 30, 2019 and December 31, 2018, our liabilities denominated in foreign currencies were not material. A 10% increase or decrease in current exchange rates would not have a material effect on our financial results.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3"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we have prepared in accordance with U.S. generally accepted accounting principles, or U.S. GAAP. The preparation of our condensed consolidated financial statements requires us to make estimates and assumptions that affect the reported amounts of assets and liabilities and the disclosure of contingent assets and liabilities at the date of our condensed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06" w:lineRule="exact"/>
        <w:rPr>
          <w:sz w:val="20"/>
          <w:szCs w:val="20"/>
          <w:color w:val="auto"/>
        </w:rPr>
      </w:pPr>
    </w:p>
    <w:p>
      <w:pPr>
        <w:jc w:val="both"/>
        <w:ind w:right="200" w:firstLine="518"/>
        <w:spacing w:after="0"/>
        <w:rPr>
          <w:sz w:val="20"/>
          <w:szCs w:val="20"/>
          <w:color w:val="auto"/>
        </w:rPr>
      </w:pPr>
      <w:r>
        <w:rPr>
          <w:rFonts w:ascii="Arial" w:cs="Arial" w:eastAsia="Arial" w:hAnsi="Arial"/>
          <w:sz w:val="18"/>
          <w:szCs w:val="18"/>
          <w:color w:val="auto"/>
        </w:rPr>
        <w:t>Our significant accounting policies are described in Note 2 to our condensed consolidated financial statements appearing elsewhere in this quarterly report. We believe that the following accounting policies are the most critical for fully understanding and evaluating our financial condition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ind w:right="340" w:firstLine="518"/>
        <w:spacing w:after="0" w:line="237" w:lineRule="auto"/>
        <w:rPr>
          <w:sz w:val="20"/>
          <w:szCs w:val="20"/>
          <w:color w:val="auto"/>
        </w:rPr>
      </w:pPr>
      <w:r>
        <w:rPr>
          <w:rFonts w:ascii="Arial" w:cs="Arial" w:eastAsia="Arial" w:hAnsi="Arial"/>
          <w:sz w:val="18"/>
          <w:szCs w:val="18"/>
          <w:color w:val="auto"/>
        </w:rPr>
        <w:t>On January 1, 2019, we adopted ASU 2014-09, Revenue from Contracts with Customers, and subsequent amendments (ASC 606), using the modified retrospective transition method applied to those contracts that were not completed as of January 1, 2019. ASC 606 supersedes all prior revenue recognition guidance. Results for operating periods beginning after January 1, 2019 are presented under ASC 606, while prior period amounts have not been adjusted and continue to be reported in accordance with previous accounting rules under Accounting Standards Codification Topic 605, Revenue Recognition (“ASC 605”).</w:t>
      </w:r>
    </w:p>
    <w:p>
      <w:pPr>
        <w:spacing w:after="0" w:line="206"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The core principle in ASC 606 requires an entity to recognize revenue upon the transfer of goods or services to customers in an amount that reflects the consideration to which the entity expects to be entitled in exchange for those goods or services. We apply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we satisfy a performance obligation.</w:t>
      </w:r>
    </w:p>
    <w:p>
      <w:pPr>
        <w:spacing w:after="0" w:line="20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All of our revenue to date has been generated from our collaboration agreements. The terms of these agreements generally require us to provide (i) license options for our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206"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We assess whether the promises in our arrangements, including any options provided to the customer, are considered distinct performance obligations that should be accounted for separately. Judgment is required to determine whether the license to a compound is distinct from research and development services or participation in steering committees, as well as whether options create material rights in the contract.</w:t>
      </w:r>
    </w:p>
    <w:p>
      <w:pPr>
        <w:spacing w:after="0" w:line="204"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variable consideration related to the performance of research and development services. We typically submit a budget for the research and development services to the customer in advance of performing the services. The transaction price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 We utilize judgment to assess the nature of our performance obligations to determine whether they are satisfied over time or at a point in time and, if over time, the appropriate method of measuring progress toward completion. We evaluate the measure of progress each reporting period and, if necessary, adjust the measure of performance and related revenue recognition.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8" w:right="259" w:bottom="1440" w:gutter="0" w:footer="0" w:header="0"/>
        </w:sectPr>
      </w:pPr>
    </w:p>
    <w:bookmarkStart w:id="39" w:name="page40"/>
    <w:bookmarkEnd w:id="39"/>
    <w:p>
      <w:pPr>
        <w:ind w:firstLine="518"/>
        <w:spacing w:after="0" w:line="236" w:lineRule="auto"/>
        <w:rPr>
          <w:sz w:val="20"/>
          <w:szCs w:val="20"/>
          <w:color w:val="auto"/>
        </w:rPr>
      </w:pPr>
      <w:r>
        <w:rPr>
          <w:rFonts w:ascii="Arial" w:cs="Arial" w:eastAsia="Arial" w:hAnsi="Arial"/>
          <w:sz w:val="18"/>
          <w:szCs w:val="18"/>
          <w:color w:val="auto"/>
        </w:rPr>
        <w:t>Our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regulatory authorities. Sales-based royalties are generally related to the volume of annual sales of a commercialized product. At the inception of each agreement that includes such payments, we evaluate whether the milestones are considered probable of being achieved and estimate the amount to be included in the transaction price by using the most likely amount method. If it is probable that a significant revenue reversal would not occur, the associated milestone value is included in the transaction price. Milestone payments that are not within our or our customer’s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we re-evaluate the probability of achievement of each such milestone and any related constraint and, if necessary, adjust our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202"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Prior to the adoption of ASC 606, our revenue from collaboration agreements was recognized when we determined that persuasive evidence of an arrangement exists, services had been rendered, the price was fixed or determinable and collectability was reasonably assured. We would record amounts received prior to satisfying the above revenue recognition criteria as deferred revenue until all applicable revenue recognition criteria were met. Revenue allocated to research activities was generally recognized in the period the services were performed, and revenue allocated to licenses was generally recognized on a straight-line basis over the contractual term. Allocations to non-contingent elements were based on the relative selling price of each element using vendor-specific objective evidence or third-party evidence, where available. In the absence of either of these measures, we used the best estimate of selling price for that deliverable.</w:t>
      </w:r>
    </w:p>
    <w:p>
      <w:pPr>
        <w:spacing w:after="0" w:line="201"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most significant change to our policies upon the adoption of ASC 606 is the estimation of an arrangement’s total transaction price, which would include any variable consideration and the recognition of that transaction price based on a cost-based input method that requires significant estimates to determine, at each reporting period, the percentage of completion based on the estimated total effort required to complete the project and the total transaction price. Given the differences in revenue recognition policies, the revenue recognized in prior years is not strictly comparable to revenue recorded in the quarter ending June 30, 2019 or in future periods (see Recently Adopted Accounting Pronouncements in the condensed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5" w:lineRule="exact"/>
        <w:rPr>
          <w:sz w:val="20"/>
          <w:szCs w:val="20"/>
          <w:color w:val="auto"/>
        </w:rPr>
      </w:pPr>
    </w:p>
    <w:p>
      <w:pPr>
        <w:ind w:right="500" w:firstLine="518"/>
        <w:spacing w:after="0" w:line="245" w:lineRule="auto"/>
        <w:rPr>
          <w:sz w:val="20"/>
          <w:szCs w:val="20"/>
          <w:color w:val="auto"/>
        </w:rPr>
      </w:pPr>
      <w:r>
        <w:rPr>
          <w:rFonts w:ascii="Arial" w:cs="Arial" w:eastAsia="Arial" w:hAnsi="Arial"/>
          <w:sz w:val="18"/>
          <w:szCs w:val="18"/>
          <w:color w:val="auto"/>
        </w:rPr>
        <w:t>As part of the process of preparing financial statements, we are required to estimate and accrue expenses, the largest of which are research and development expenses. This process involves:</w:t>
      </w:r>
    </w:p>
    <w:p>
      <w:pPr>
        <w:spacing w:after="0" w:line="90" w:lineRule="exact"/>
        <w:rPr>
          <w:sz w:val="20"/>
          <w:szCs w:val="20"/>
          <w:color w:val="auto"/>
        </w:rPr>
      </w:pPr>
    </w:p>
    <w:p>
      <w:pPr>
        <w:ind w:left="780" w:right="40" w:hanging="25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w:t>
      </w:r>
    </w:p>
    <w:p>
      <w:pPr>
        <w:spacing w:after="0" w:line="93" w:lineRule="exact"/>
        <w:rPr>
          <w:rFonts w:ascii="Arial" w:cs="Arial" w:eastAsia="Arial" w:hAnsi="Arial"/>
          <w:sz w:val="18"/>
          <w:szCs w:val="18"/>
          <w:color w:val="auto"/>
        </w:rPr>
      </w:pPr>
    </w:p>
    <w:p>
      <w:pPr>
        <w:ind w:left="780" w:right="560" w:hanging="259"/>
        <w:spacing w:after="0" w:line="245"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estimating and accruing expenses in our financial statements as of each balance sheet date based on facts and circumstances known to us at the time; and</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service providers and making adjustments, if necessary.</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Examples of estimated research and development expenses that we accrue include:</w:t>
      </w:r>
    </w:p>
    <w:p>
      <w:pPr>
        <w:spacing w:after="0" w:line="103" w:lineRule="exact"/>
        <w:rPr>
          <w:sz w:val="20"/>
          <w:szCs w:val="20"/>
          <w:color w:val="auto"/>
        </w:rPr>
      </w:pPr>
    </w:p>
    <w:p>
      <w:pPr>
        <w:ind w:left="780" w:hanging="25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to contract research organizations in connection with preclinical studies and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to contract manufacturing organizations in connection with the production of clinical trial materials;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211"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We base our expense accruals related to clinical trials on our estimates of the services received and efforts expended pursuant to contracts with multiple research institutions and clinical research organizations that conduct and manage clinical trials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generally invoice us monthly in arrears for services performed.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0" w:name="page41"/>
    <w:bookmarkEnd w:id="40"/>
    <w:p>
      <w:pPr>
        <w:jc w:val="both"/>
        <w:ind w:right="80" w:firstLine="518"/>
        <w:spacing w:after="0"/>
        <w:rPr>
          <w:sz w:val="20"/>
          <w:szCs w:val="20"/>
          <w:color w:val="auto"/>
        </w:rPr>
      </w:pPr>
      <w:r>
        <w:rPr>
          <w:rFonts w:ascii="Arial" w:cs="Arial" w:eastAsia="Arial" w:hAnsi="Arial"/>
          <w:sz w:val="18"/>
          <w:szCs w:val="18"/>
          <w:color w:val="auto"/>
        </w:rPr>
        <w:t>To date, we have not experienced significant changes in our estimates of accrued research and development expenses after a reporting period. However, due to the nature of estimates, we cannot assure that we will not make changes to our estimates in the future as we become aware of additional information about the status or conduct of our clinical trials and other research activities.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5" w:lineRule="exact"/>
        <w:rPr>
          <w:sz w:val="20"/>
          <w:szCs w:val="20"/>
          <w:color w:val="auto"/>
        </w:rPr>
      </w:pPr>
    </w:p>
    <w:p>
      <w:pPr>
        <w:ind w:right="200" w:firstLine="518"/>
        <w:spacing w:after="0"/>
        <w:rPr>
          <w:sz w:val="20"/>
          <w:szCs w:val="20"/>
          <w:color w:val="auto"/>
        </w:rPr>
      </w:pPr>
      <w:r>
        <w:rPr>
          <w:rFonts w:ascii="Arial" w:cs="Arial" w:eastAsia="Arial" w:hAnsi="Arial"/>
          <w:sz w:val="18"/>
          <w:szCs w:val="18"/>
          <w:color w:val="auto"/>
        </w:rPr>
        <w:t>Stock-based compensation expense represents the grant date fair value of employee stock option grants and rights to acquire stock granted under our 2019 ESPP, recognized over the requisite service period of the awards (usually the vesting period) on a straight-line basis, net of estimated forfeitures.</w:t>
      </w:r>
    </w:p>
    <w:p>
      <w:pPr>
        <w:spacing w:after="0" w:line="202"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Subsequent to the adoption of ASU 2018-07, Stock Compensation (Topic 718): Improvements to Nonemployee Share-Based Payment Accounting, stock-based compensation expense for non-employee stock-based awards is also measured based on the fair value on grant date with its estimated fair value recorded over requisite service period of the awards (usually the vesting period) on a straight-line basis, net of estimated forfeitures.</w:t>
      </w:r>
    </w:p>
    <w:p>
      <w:pPr>
        <w:spacing w:after="0" w:line="204" w:lineRule="exact"/>
        <w:rPr>
          <w:sz w:val="20"/>
          <w:szCs w:val="20"/>
          <w:color w:val="auto"/>
        </w:rPr>
      </w:pPr>
    </w:p>
    <w:p>
      <w:pPr>
        <w:jc w:val="both"/>
        <w:ind w:right="480" w:firstLine="518"/>
        <w:spacing w:after="0"/>
        <w:rPr>
          <w:sz w:val="20"/>
          <w:szCs w:val="20"/>
          <w:color w:val="auto"/>
        </w:rPr>
      </w:pPr>
      <w:r>
        <w:rPr>
          <w:rFonts w:ascii="Arial" w:cs="Arial" w:eastAsia="Arial" w:hAnsi="Arial"/>
          <w:sz w:val="18"/>
          <w:szCs w:val="18"/>
          <w:color w:val="auto"/>
        </w:rPr>
        <w:t>We calculate the fair value of stock-based compensation awards using the Black-Scholes option-pricing model. The Black-Scholes option-pricing model requires the use of subjective assumptions, including stock price volatility, the expected life of stock options, risk free interest rate and the fair value of the underlying common stock on the date of grant. Our key assumptions are:</w:t>
      </w:r>
    </w:p>
    <w:p>
      <w:pPr>
        <w:spacing w:after="0" w:line="72" w:lineRule="exact"/>
        <w:rPr>
          <w:sz w:val="20"/>
          <w:szCs w:val="20"/>
          <w:color w:val="auto"/>
        </w:rPr>
      </w:pPr>
    </w:p>
    <w:p>
      <w:pPr>
        <w:ind w:left="780" w:right="80" w:hanging="259"/>
        <w:spacing w:after="0" w:line="271"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Stock Price Volatility: </w:t>
      </w:r>
      <w:r>
        <w:rPr>
          <w:rFonts w:ascii="Arial" w:cs="Arial" w:eastAsia="Arial" w:hAnsi="Arial"/>
          <w:sz w:val="18"/>
          <w:szCs w:val="18"/>
          <w:color w:val="auto"/>
        </w:rPr>
        <w:t>The expected volatility is based on the historical volatility of the stock of similar entities within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over periods commensurate with our expected term assumption.</w:t>
      </w:r>
    </w:p>
    <w:p>
      <w:pPr>
        <w:spacing w:after="0" w:line="45" w:lineRule="exact"/>
        <w:rPr>
          <w:rFonts w:ascii="Arial" w:cs="Arial" w:eastAsia="Arial" w:hAnsi="Arial"/>
          <w:sz w:val="18"/>
          <w:szCs w:val="18"/>
          <w:color w:val="auto"/>
        </w:rPr>
      </w:pPr>
    </w:p>
    <w:p>
      <w:pPr>
        <w:jc w:val="both"/>
        <w:ind w:left="780" w:right="220" w:hanging="259"/>
        <w:spacing w:after="0" w:line="253"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of Options: </w:t>
      </w:r>
      <w:r>
        <w:rPr>
          <w:rFonts w:ascii="Arial" w:cs="Arial" w:eastAsia="Arial" w:hAnsi="Arial"/>
          <w:sz w:val="18"/>
          <w:szCs w:val="18"/>
          <w:color w:val="auto"/>
        </w:rPr>
        <w:t>The expected term of options represents the period of time options are expected to be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term of the options granted is derived using the “simplified” method (that is, estimating the expected term as the mid-point between the vesting date and the end of the contractual term for each option).</w:t>
      </w:r>
    </w:p>
    <w:p>
      <w:pPr>
        <w:spacing w:after="0" w:line="60" w:lineRule="exact"/>
        <w:rPr>
          <w:rFonts w:ascii="Arial" w:cs="Arial" w:eastAsia="Arial" w:hAnsi="Arial"/>
          <w:sz w:val="18"/>
          <w:szCs w:val="18"/>
          <w:color w:val="auto"/>
        </w:rPr>
      </w:pPr>
    </w:p>
    <w:p>
      <w:pPr>
        <w:ind w:left="780" w:right="140" w:hanging="259"/>
        <w:spacing w:after="0" w:line="271"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We base the risk-free interest rate on the interest rate payable on U.S. Treasury securities in effect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of grant for a period that is commensurate with the assumed expected option term.</w:t>
      </w:r>
    </w:p>
    <w:p>
      <w:pPr>
        <w:spacing w:after="0" w:line="45" w:lineRule="exact"/>
        <w:rPr>
          <w:rFonts w:ascii="Arial" w:cs="Arial" w:eastAsia="Arial" w:hAnsi="Arial"/>
          <w:sz w:val="18"/>
          <w:szCs w:val="18"/>
          <w:color w:val="auto"/>
        </w:rPr>
      </w:pPr>
    </w:p>
    <w:p>
      <w:pPr>
        <w:ind w:left="780" w:right="240" w:hanging="259"/>
        <w:spacing w:after="0" w:line="271"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Annual Dividends: </w:t>
      </w:r>
      <w:r>
        <w:rPr>
          <w:rFonts w:ascii="Arial" w:cs="Arial" w:eastAsia="Arial" w:hAnsi="Arial"/>
          <w:sz w:val="18"/>
          <w:szCs w:val="18"/>
          <w:color w:val="auto"/>
        </w:rPr>
        <w:t>The estimate for annual dividends is zero because we have not historically paid dividends, and 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expect to pay dividends for the foreseeable future.</w:t>
      </w:r>
    </w:p>
    <w:p>
      <w:pPr>
        <w:spacing w:after="0" w:line="175" w:lineRule="exact"/>
        <w:rPr>
          <w:sz w:val="20"/>
          <w:szCs w:val="20"/>
          <w:color w:val="auto"/>
        </w:rPr>
      </w:pPr>
    </w:p>
    <w:p>
      <w:pPr>
        <w:jc w:val="both"/>
        <w:ind w:right="40" w:firstLine="518"/>
        <w:spacing w:after="0" w:line="238" w:lineRule="auto"/>
        <w:rPr>
          <w:sz w:val="20"/>
          <w:szCs w:val="20"/>
          <w:color w:val="auto"/>
        </w:rPr>
      </w:pPr>
      <w:r>
        <w:rPr>
          <w:rFonts w:ascii="Arial" w:cs="Arial" w:eastAsia="Arial" w:hAnsi="Arial"/>
          <w:sz w:val="18"/>
          <w:szCs w:val="18"/>
          <w:color w:val="auto"/>
        </w:rPr>
        <w:t>We recorded stock-based compensation expense related to employees, directors and nonemployees of $3.7 million and $6.3 million for the three and six months ended June 30, 2019, respectively compared to $2.2 million and $4.5 million for the three and six months ended June 30, 2018. As of June 30, 2019, we had unrecognized stock-based compensation cost related to options granted to employees and directors of $26.3 million, net of forfeitures, which is expected to be recognized as expense over approximately 2.74 years.</w:t>
      </w:r>
    </w:p>
    <w:p>
      <w:pPr>
        <w:spacing w:after="0" w:line="204"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 xml:space="preserve">Historically, the fair value of the common stock underlying our share-based awards was estimated on each grant date by our board of directors. In order to determine the fair value of our common stock underlying option grants, our board of directors considered, among other things, timely valuations of our common stock prepared by an unrelated third-party valuation firm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Given the absence of a public trading market for our common stock historically, our board of directors exercised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and considered a number of objective and subjective factors to determine the best estimate of the fair value of our common stock, including our stage of development; progress of our research and development efforts; the rights, preferences and privileges of our convertible preferred stock relative to those of our common stock; equity market conditions affecting comparable public companies; and the lack of marketability of our common stock.</w:t>
      </w:r>
    </w:p>
    <w:p>
      <w:pPr>
        <w:spacing w:after="0" w:line="20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have utilized the probability-weighted expected return method, or PWERM, alone or in combination with the option pricing method, or OPM, as a hybrid method, or Hybrid Method, each an accepted valuation method under the AICPA Practice Guide, for determining the fair value of our common stock. The PWERM is a scenario-based analysis that estimates the value per share of common stock based on the probability-weighted present value of expected future equity values for the common stock, under various possible future liquidity event scenarios, in light of the rights and preferences of each class and series of stock, discounted for a lack of marketability. The OPM values each equity class by creating a series of call options on the equity value, with exercise prices based on the liquidation preferences, participation rights and strike prices of derivatives. The Hybrid Method is appropriate for a company expecting a near term liquidity event, but where, due to market or other factors, the likelihood of completing the liquidity event is uncertain. The Hybrid Method considers a company’s going concern nature, stage of development and the company’s ability to forecast near and long-term future liquidity scenarios. In connection with our preparation for filing a registration statement with the SEC, we evaluated whether or not in retrospect the valuation of our common stock as of the date of each option grant over the previous 12 months was appropriate for accounting purposes.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0" w:right="259" w:bottom="1440" w:gutter="0" w:footer="0" w:header="0"/>
        </w:sectPr>
      </w:pPr>
    </w:p>
    <w:bookmarkStart w:id="41" w:name="page42"/>
    <w:bookmarkEnd w:id="41"/>
    <w:p>
      <w:pPr>
        <w:ind w:right="40" w:firstLine="518"/>
        <w:spacing w:after="0" w:line="237" w:lineRule="auto"/>
        <w:rPr>
          <w:sz w:val="20"/>
          <w:szCs w:val="20"/>
          <w:color w:val="auto"/>
        </w:rPr>
      </w:pPr>
      <w:r>
        <w:rPr>
          <w:rFonts w:ascii="Arial" w:cs="Arial" w:eastAsia="Arial" w:hAnsi="Arial"/>
          <w:sz w:val="18"/>
          <w:szCs w:val="18"/>
          <w:color w:val="auto"/>
        </w:rPr>
        <w:t>The dates of our contemporaneous valuations have not always coincided with the dates of our stock option grants. In determining the exercise prices of the stock options, our board of directors considered, among other things, the most recent contemporaneous valuations of our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research and development, our operating and financial performance and current business conditions.</w:t>
      </w:r>
    </w:p>
    <w:p>
      <w:pPr>
        <w:spacing w:after="0" w:line="206" w:lineRule="exact"/>
        <w:rPr>
          <w:sz w:val="20"/>
          <w:szCs w:val="20"/>
          <w:color w:val="auto"/>
        </w:rPr>
      </w:pPr>
    </w:p>
    <w:p>
      <w:pPr>
        <w:ind w:right="180" w:firstLine="518"/>
        <w:spacing w:after="0" w:line="245" w:lineRule="auto"/>
        <w:rPr>
          <w:sz w:val="20"/>
          <w:szCs w:val="20"/>
          <w:color w:val="auto"/>
        </w:rPr>
      </w:pPr>
      <w:r>
        <w:rPr>
          <w:rFonts w:ascii="Arial" w:cs="Arial" w:eastAsia="Arial" w:hAnsi="Arial"/>
          <w:sz w:val="18"/>
          <w:szCs w:val="18"/>
          <w:color w:val="auto"/>
        </w:rPr>
        <w:t>After our IPO, the fair market value of each share of underlying common stock is determined based on the closing price of our common stock as reported by the Nasdaq Global Select Market on the date of grant.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JOBS Act Accounting Election</w:t>
      </w:r>
    </w:p>
    <w:p>
      <w:pPr>
        <w:spacing w:after="0" w:line="233"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may delay the adoption of new or revised accounting standards issued subsequent to the enactment of the JOBS Act until such time as those standards would otherwise apply to private companies.</w:t>
      </w:r>
    </w:p>
    <w:p>
      <w:pPr>
        <w:spacing w:after="0" w:line="20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time to comply with new or revised accounting standards as applicable to public companies. We have elected the extended transition period for complying with new or revised accounting standards pursuant to Section 107(b) of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4" w:lineRule="exact"/>
        <w:rPr>
          <w:sz w:val="20"/>
          <w:szCs w:val="20"/>
          <w:color w:val="auto"/>
        </w:rPr>
      </w:pPr>
    </w:p>
    <w:p>
      <w:pPr>
        <w:ind w:right="180" w:firstLine="518"/>
        <w:spacing w:after="0" w:line="238" w:lineRule="auto"/>
        <w:rPr>
          <w:sz w:val="20"/>
          <w:szCs w:val="20"/>
          <w:color w:val="auto"/>
        </w:rPr>
      </w:pPr>
      <w:r>
        <w:rPr>
          <w:rFonts w:ascii="Arial" w:cs="Arial" w:eastAsia="Arial" w:hAnsi="Arial"/>
          <w:sz w:val="18"/>
          <w:szCs w:val="18"/>
          <w:color w:val="auto"/>
        </w:rPr>
        <w:t>We will remain an emerging growth company until the earlier to occur of (1) (a) December 31, 2024, (b) the last day of the fiscal year in which our annual gross revenue is $1.07 billion or more, or (c) the date on which we are deemed to be a “large accelerated filer,” under the rules of the SEC, which means the market value of our equity securities that is held by non-affiliates exceeds $700 million as of the prior June 30th, and (2) the date on which we have issued more than $1.0 billion in non-convertible debt during the prior three-year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233"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Except as described in Note 2 to the condensed consolidated financial statements under the headings “Recently Adopted Accounting Pronouncements” and “Recent Accounting Pronouncements Not Yet Adopted,” there have been no new accounting pronouncements or changes to accounting pronouncements during the six months ended June 30, 2019, as compared to the recent accounting pronouncements described in our audited consolidated financial statements and notes for the year ended December 31, 2018, included in the Company’s final prospectus filed with the SEC pursuant to Rule 424(b) under the Securities Act of 1933, as amended, on April 4, 2019, that are of significance or potential significance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exposed to market risks in the ordinary course of our business, primarily related to interest rate and foreign currency sensitivities.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25"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We are exposed to market risk related to changes in interest rates. We had cash, cash equivalents and marketable securities of $362.2 million as of June 30, 2019, which consisted primarily of money market funds and marketable securities, largely composed of investment grade, short to intermediate term fixed income securities.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2" w:name="page43"/>
    <w:bookmarkEnd w:id="42"/>
    <w:p>
      <w:pPr>
        <w:ind w:firstLine="518"/>
        <w:spacing w:after="0" w:line="237" w:lineRule="auto"/>
        <w:rPr>
          <w:sz w:val="20"/>
          <w:szCs w:val="20"/>
          <w:color w:val="auto"/>
        </w:rPr>
      </w:pPr>
      <w:r>
        <w:rPr>
          <w:rFonts w:ascii="Arial" w:cs="Arial" w:eastAsia="Arial" w:hAnsi="Arial"/>
          <w:sz w:val="18"/>
          <w:szCs w:val="18"/>
          <w:color w:val="auto"/>
        </w:rPr>
        <w:t>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according to our board-approved investment charter. Our investments are subject to interest rate risk and could fall in value if market interest rates increase. A hypothetical 10% relative change in interest rates during any of the periods presented would not have had a material impact on our condensed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Sensitivity</w:t>
      </w:r>
    </w:p>
    <w:p>
      <w:pPr>
        <w:spacing w:after="0" w:line="125"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majority of our transactions occur in U.S. dollars. However, we do have certain transactions that are denominated in currencies other than the U.S. dollar, primarily Australian dollars, British Pounds, Swiss Francs and the Euro, and we therefore are subject to foreign exchange risk. The fluctuation in the value of the U.S. dollar against other currencies affects the reported amounts of expenses, assets and liabilities associated with a limited number of manufacturing, preclinical and clinical activities. A hypothetical 10% change in foreign currency exchange rates during any of the periods presented would not have had a material impact on our condensed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5"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As of June 30, 2019, management, with the participation of our Chief Executive Officer and acting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acting Chief Financial Officer, to allow timely decisions regarding required disclosures.</w:t>
      </w:r>
    </w:p>
    <w:p>
      <w:pPr>
        <w:spacing w:after="0" w:line="204" w:lineRule="exact"/>
        <w:rPr>
          <w:sz w:val="20"/>
          <w:szCs w:val="20"/>
          <w:color w:val="auto"/>
        </w:rPr>
      </w:pPr>
    </w:p>
    <w:p>
      <w:pPr>
        <w:ind w:right="180" w:firstLine="518"/>
        <w:spacing w:after="0" w:line="238"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acting Chief Financial Officer concluded that, as of June 30, 2019, the design and operation of our disclosure controls and procedures were effective at a reasonable assurance level.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5" w:lineRule="exact"/>
        <w:rPr>
          <w:sz w:val="20"/>
          <w:szCs w:val="20"/>
          <w:color w:val="auto"/>
        </w:rPr>
      </w:pPr>
    </w:p>
    <w:p>
      <w:pPr>
        <w:jc w:val="both"/>
        <w:ind w:right="280" w:firstLine="518"/>
        <w:spacing w:after="0"/>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quarter ended June 30, 2019 that has materially affected, or is reasonably likely to materially affect, our internal control over financial reporting.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7" w:lineRule="exact"/>
        <w:rPr>
          <w:sz w:val="20"/>
          <w:szCs w:val="20"/>
          <w:color w:val="auto"/>
        </w:rPr>
      </w:pPr>
    </w:p>
    <w:p>
      <w:pPr>
        <w:ind w:right="180" w:firstLine="518"/>
        <w:spacing w:after="0" w:line="239"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10-Q, including our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Capital Needs</w:t>
      </w:r>
    </w:p>
    <w:p>
      <w:pPr>
        <w:spacing w:after="0" w:line="103"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expect to incur significant and increasing operating losses and may never be profitable. Our stock is a highly speculative investment.</w:t>
      </w:r>
    </w:p>
    <w:p>
      <w:pPr>
        <w:spacing w:after="0" w:line="6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are a clinical-stage biopharmaceutical company that was incorporated in December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year since commencing operations. Our net loss was $0.5 million and $14.2 million for the years ended December 31, 2018 and 2017, respectively. For the three and six months ended June 30, 2019, we also incurred net losses of $7.7 million and $15.9 million, respectively, compared to net losses incurred for three and six months ended June 30, 2018 of $3.2 million and $7.1 million, respectively. As of June 30, 2019, we had an accumulated deficit of $169.3 million.</w:t>
      </w:r>
    </w:p>
    <w:p>
      <w:pPr>
        <w:spacing w:after="0" w:line="205"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expect to incur substantial and increasing operating losses over the next several years as our research, development, preclinical testing and clinical trial activities increase. As a result, our accumulated deficit will also increase significantly. We may encounter unforeseen expenses, difficulties, complications, delays and other unknown factors that may adversely affect our business. The size of our future net losses will depend, in part, on the rate of future growth of our expenses and our ability to generate revenue beyond those generated pursuant to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Substantially all of our revenue for recent periods has been received from a single collaboration partner.</w:t>
      </w:r>
    </w:p>
    <w:p>
      <w:pPr>
        <w:spacing w:after="0" w:line="12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Over the past two years, substantially all of our revenue was from our collaboration partner, Merck. We will require substantial additional capital to achieve our development and commercialization goals for aldafermin, for any Merck licensed programs that we opt to co-develop and for any programs that Merck does not opt to license and that we choose to develop, such as NGM386 and/or NGM395, for which Merck terminated its license effective May 31, 2019 and for which we are considering advancement pending study results. Under the Merck collaboration, Merck provides us with reimbursement for research and development activities of up to $50 million per year, plus additional amounts up to agreed upon annual caps, if certain conditions are met; however, we may require additional funding to advance our research and development affairs on our planned timeline, or at all. If our Merck collaboration were to be terminated, or if the annual cap under the Merck collaboration is insufficient, we could require significant additional capital in order to proceed with development and commercialization of our product candidates, or we may require additional partnering in order to help fund such development and commercialization. Merck has exercised its option to extend the research and early development program through March 16, 2022 and has the right to extend it again through March 16, 2024. If adequate funds or partners are not available to us on a timely basis, on favorable terms or at all, we may be required to delay, limit, reduce or terminate our research and development efforts or other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12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Our product candidates are in the early stages of development. To date, we have not generated any revenue from commercialization of our product candidates. We will not be able to generate product revenue unless and until one of our product candidates, alone or with our partners, successfully completes clinical trials, receives regulatory approval and is successfully commercialized. As our product candidates are in early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 Our ability to generate future product revenue from our current or future product candidates also depends on a number of additional factors, including our or our current and future partners’ ability to:</w:t>
      </w:r>
    </w:p>
    <w:p>
      <w:pPr>
        <w:spacing w:after="0" w:line="98" w:lineRule="exact"/>
        <w:rPr>
          <w:sz w:val="20"/>
          <w:szCs w:val="20"/>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103" w:lineRule="exact"/>
        <w:rPr>
          <w:rFonts w:ascii="Arial" w:cs="Arial" w:eastAsia="Arial" w:hAnsi="Arial"/>
          <w:sz w:val="18"/>
          <w:szCs w:val="18"/>
          <w:color w:val="auto"/>
        </w:rPr>
      </w:pPr>
    </w:p>
    <w:p>
      <w:pPr>
        <w:ind w:left="780" w:right="760" w:hanging="259"/>
        <w:spacing w:after="0" w:line="245"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90" w:lineRule="exact"/>
        <w:rPr>
          <w:rFonts w:ascii="Arial" w:cs="Arial" w:eastAsia="Arial" w:hAnsi="Arial"/>
          <w:sz w:val="18"/>
          <w:szCs w:val="18"/>
          <w:color w:val="auto"/>
        </w:rPr>
      </w:pPr>
    </w:p>
    <w:p>
      <w:pPr>
        <w:ind w:left="780" w:right="180" w:hanging="259"/>
        <w:spacing w:after="0" w:line="245"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 and commercialize future product candidates for which we obtain marketing approval, if any, and, if launched independently, successfully establish a sales force, marketing and distribution infrastructure;</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demonstrate the necessary safety data post-approval to ensure continued regulatory approval;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 market acceptance for our or our partners’ products, if any;</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11"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our product candidates may not advance through development or achieve the endpoints of applicable clinical trials, we are unable to predict the timing or amount of increased expenses, or if or when we will achieve or maintain profitability. In addition, our expenses could increase beyond expectations if we decide,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these products.</w:t>
      </w:r>
    </w:p>
    <w:p>
      <w:pPr>
        <w:spacing w:after="0" w:line="204" w:lineRule="exact"/>
        <w:rPr>
          <w:sz w:val="20"/>
          <w:szCs w:val="20"/>
          <w:color w:val="auto"/>
        </w:rPr>
      </w:pPr>
    </w:p>
    <w:p>
      <w:pPr>
        <w:jc w:val="both"/>
        <w:ind w:right="20" w:firstLine="518"/>
        <w:spacing w:after="0"/>
        <w:rPr>
          <w:sz w:val="20"/>
          <w:szCs w:val="20"/>
          <w:color w:val="auto"/>
        </w:rPr>
      </w:pPr>
      <w:r>
        <w:rPr>
          <w:rFonts w:ascii="Arial" w:cs="Arial" w:eastAsia="Arial" w:hAnsi="Arial"/>
          <w:sz w:val="18"/>
          <w:szCs w:val="18"/>
          <w:color w:val="auto"/>
        </w:rPr>
        <w:t>Even if we generate revenue from the sale of any of our products that may be approved, we may not become profitable and may need to obtain additional funding to continue operations. If we fail to become profitable or do not sustain profitability on a continuing basis, then we may be unable to continue our operations at planned levels and be forced to reduce our operations.</w:t>
      </w:r>
    </w:p>
    <w:p>
      <w:pPr>
        <w:spacing w:after="0" w:line="288"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b w:val="1"/>
          <w:bCs w:val="1"/>
          <w:i w:val="1"/>
          <w:iCs w:val="1"/>
          <w:color w:val="auto"/>
        </w:rPr>
        <w:t>We may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44"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As a research and development company, our operations have consumed substantial amounts of cash since inception. We expect our research and development expenses to increase substantially in connection with our ongoing activities, particularly to the extent that product candidates whose costs are not borne by our collaborator, such as aldafermin, NGM386 and NGM395, advance in clinical development. We believe that our existing cash, cash equivalents and short-term marketable securities and funding we expect to receive under our existing Collaboration Agreement and through our IPO, will fund our projected operating requirements for at least the next twelve months.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97" w:lineRule="exact"/>
        <w:rPr>
          <w:sz w:val="20"/>
          <w:szCs w:val="20"/>
          <w:color w:val="auto"/>
        </w:rPr>
      </w:pPr>
    </w:p>
    <w:p>
      <w:pPr>
        <w:ind w:left="780" w:right="320" w:hanging="259"/>
        <w:spacing w:after="0" w:line="245"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tests and clinical trials for our product candidates and future product candidates we may develop;</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our completion of a proof-of-concept study in humans;</w:t>
      </w:r>
    </w:p>
    <w:p>
      <w:pPr>
        <w:spacing w:after="0" w:line="103" w:lineRule="exact"/>
        <w:rPr>
          <w:rFonts w:ascii="Arial" w:cs="Arial" w:eastAsia="Arial" w:hAnsi="Arial"/>
          <w:sz w:val="18"/>
          <w:szCs w:val="18"/>
          <w:color w:val="auto"/>
        </w:rPr>
      </w:pPr>
    </w:p>
    <w:p>
      <w:pPr>
        <w:ind w:left="780" w:right="760" w:hanging="259"/>
        <w:spacing w:after="0" w:line="245"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Merck terminates the research collaboration (under pre-specified circumstances in the Collaboration Agreement) or terminates a program that is licensed;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6" w:right="279" w:bottom="1440" w:gutter="0" w:footer="0" w:header="0"/>
        </w:sectPr>
      </w:pPr>
    </w:p>
    <w:bookmarkStart w:id="45" w:name="page46"/>
    <w:bookmarkEnd w:id="45"/>
    <w:p>
      <w:pPr>
        <w:ind w:left="780" w:right="660" w:hanging="259"/>
        <w:spacing w:after="0" w:line="245"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Merck exercises its remaining option to extend the research phase of its collaboration with us, which would trigger an extension payment to us;</w:t>
      </w:r>
    </w:p>
    <w:p>
      <w:pPr>
        <w:spacing w:after="0" w:line="90" w:lineRule="exact"/>
        <w:rPr>
          <w:rFonts w:ascii="Arial" w:cs="Arial" w:eastAsia="Arial" w:hAnsi="Arial"/>
          <w:sz w:val="18"/>
          <w:szCs w:val="18"/>
          <w:color w:val="auto"/>
        </w:rPr>
      </w:pPr>
    </w:p>
    <w:p>
      <w:pPr>
        <w:ind w:left="780" w:right="16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change their requirements on studies that had previously been agreed to;</w:t>
      </w:r>
    </w:p>
    <w:p>
      <w:pPr>
        <w:spacing w:after="0" w:line="93" w:lineRule="exact"/>
        <w:rPr>
          <w:rFonts w:ascii="Arial" w:cs="Arial" w:eastAsia="Arial" w:hAnsi="Arial"/>
          <w:sz w:val="18"/>
          <w:szCs w:val="18"/>
          <w:color w:val="auto"/>
        </w:rPr>
      </w:pPr>
    </w:p>
    <w:p>
      <w:pPr>
        <w:ind w:left="780" w:right="1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93"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103" w:lineRule="exact"/>
        <w:rPr>
          <w:rFonts w:ascii="Arial" w:cs="Arial" w:eastAsia="Arial" w:hAnsi="Arial"/>
          <w:sz w:val="18"/>
          <w:szCs w:val="18"/>
          <w:color w:val="auto"/>
        </w:rPr>
      </w:pPr>
    </w:p>
    <w:p>
      <w:pPr>
        <w:ind w:left="780" w:right="180" w:hanging="259"/>
        <w:spacing w:after="0" w:line="245"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 and</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29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w:t>
      </w:r>
    </w:p>
    <w:p>
      <w:pPr>
        <w:spacing w:after="0" w:line="67"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Unless and until we can generate a sufficient amount of revenue from our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terminated in certain circumstances. We expect to finance future cash needs through public or private equity or debt offerings or product collaborations. Additional capital may not be available in sufficient amounts or on reasonable terms, if at all. Our existing stockholders could suffer dilution or be negatively affected by fixed payment obligations we may incur if we raise additional funds through the issuance of additional equity securities or debt.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need to secure additional financing, such additional fundraising efforts may divert our management and research efforts from our day-to-day activities, which may adversely affect our ability to develop and commercialize future product candidates. If we do not raise additional capital, we may not be able to expand our operations or otherwise capitalize on our business opportunities, our business and financial condition will be negatively impacted and we may need to:</w:t>
      </w:r>
    </w:p>
    <w:p>
      <w:pPr>
        <w:spacing w:after="0" w:line="104" w:lineRule="exact"/>
        <w:rPr>
          <w:sz w:val="20"/>
          <w:szCs w:val="20"/>
          <w:color w:val="auto"/>
        </w:rPr>
      </w:pPr>
    </w:p>
    <w:p>
      <w:pPr>
        <w:ind w:left="780" w:right="60" w:hanging="259"/>
        <w:spacing w:after="0" w:line="245"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operations altogether;</w:t>
      </w:r>
    </w:p>
    <w:p>
      <w:pPr>
        <w:spacing w:after="0" w:line="90" w:lineRule="exact"/>
        <w:rPr>
          <w:rFonts w:ascii="Arial" w:cs="Arial" w:eastAsia="Arial" w:hAnsi="Arial"/>
          <w:sz w:val="18"/>
          <w:szCs w:val="18"/>
          <w:color w:val="auto"/>
        </w:rPr>
      </w:pPr>
    </w:p>
    <w:p>
      <w:pPr>
        <w:ind w:left="780" w:right="180" w:hanging="259"/>
        <w:spacing w:after="0" w:line="245"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or at an earlier stage than we would otherwise desire or on terms less favorable than might otherwise be available; or</w:t>
      </w:r>
    </w:p>
    <w:p>
      <w:pPr>
        <w:spacing w:after="0" w:line="90" w:lineRule="exact"/>
        <w:rPr>
          <w:rFonts w:ascii="Arial" w:cs="Arial" w:eastAsia="Arial" w:hAnsi="Arial"/>
          <w:sz w:val="18"/>
          <w:szCs w:val="18"/>
          <w:color w:val="auto"/>
        </w:rPr>
      </w:pPr>
    </w:p>
    <w:p>
      <w:pPr>
        <w:ind w:left="780" w:right="440" w:hanging="259"/>
        <w:spacing w:after="0" w:line="245"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product candidates that we otherwise would seek to develop or commercialize ourselves.</w:t>
      </w:r>
    </w:p>
    <w:p>
      <w:pPr>
        <w:spacing w:after="0" w:line="198" w:lineRule="exact"/>
        <w:rPr>
          <w:sz w:val="20"/>
          <w:szCs w:val="20"/>
          <w:color w:val="auto"/>
        </w:rPr>
      </w:pPr>
    </w:p>
    <w:p>
      <w:pPr>
        <w:ind w:right="360" w:firstLine="518"/>
        <w:spacing w:after="0" w:line="245" w:lineRule="auto"/>
        <w:rPr>
          <w:sz w:val="20"/>
          <w:szCs w:val="20"/>
          <w:color w:val="auto"/>
        </w:rPr>
      </w:pPr>
      <w:r>
        <w:rPr>
          <w:rFonts w:ascii="Arial" w:cs="Arial" w:eastAsia="Arial" w:hAnsi="Arial"/>
          <w:sz w:val="18"/>
          <w:szCs w:val="18"/>
          <w:color w:val="auto"/>
        </w:rPr>
        <w:t>If we need to conduct additional fundraising activities, but are unable to do so, we may be prevented from pursuing development and commercialization efforts, which will have a material adverse effect on our business, operating results and prospects.</w:t>
      </w:r>
    </w:p>
    <w:p>
      <w:pPr>
        <w:spacing w:after="0" w:line="198" w:lineRule="exact"/>
        <w:rPr>
          <w:sz w:val="20"/>
          <w:szCs w:val="20"/>
          <w:color w:val="auto"/>
        </w:rPr>
      </w:pPr>
    </w:p>
    <w:p>
      <w:pPr>
        <w:ind w:right="240" w:firstLine="518"/>
        <w:spacing w:after="0" w:line="238" w:lineRule="auto"/>
        <w:rPr>
          <w:sz w:val="20"/>
          <w:szCs w:val="20"/>
          <w:color w:val="auto"/>
        </w:rPr>
      </w:pPr>
      <w:r>
        <w:rPr>
          <w:rFonts w:ascii="Arial" w:cs="Arial" w:eastAsia="Arial" w:hAnsi="Arial"/>
          <w:sz w:val="18"/>
          <w:szCs w:val="18"/>
          <w:color w:val="auto"/>
        </w:rPr>
        <w:t>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or product candidates.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46" w:name="page47"/>
    <w:bookmarkEnd w:id="46"/>
    <w:p>
      <w:pPr>
        <w:ind w:right="140"/>
        <w:spacing w:after="0" w:line="253" w:lineRule="auto"/>
        <w:rPr>
          <w:sz w:val="20"/>
          <w:szCs w:val="20"/>
          <w:color w:val="auto"/>
        </w:rPr>
      </w:pPr>
      <w:r>
        <w:rPr>
          <w:rFonts w:ascii="Arial" w:cs="Arial" w:eastAsia="Arial" w:hAnsi="Arial"/>
          <w:sz w:val="18"/>
          <w:szCs w:val="18"/>
          <w:b w:val="1"/>
          <w:bCs w:val="1"/>
          <w:i w:val="1"/>
          <w:iCs w:val="1"/>
          <w:color w:val="auto"/>
        </w:rPr>
        <w:t>We plan to use current year operating losses and our federal and state net operating loss, or NOL, carryforwards to offset taxable income from revenue generated from operations, including corporate collaborations. However, our ability to use NOL carryforwards could be limited.</w:t>
      </w:r>
    </w:p>
    <w:p>
      <w:pPr>
        <w:spacing w:after="0" w:line="82"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NOL carryforwards to offset income that would otherwise be taxable. However, under Section 382 of the U.S. Internal Revenue Code of 1986, as amended, the amount of benefits from our NOL carryforwards may be impaired or limited if we incur a cumulative ownership change of more than 50%, as interpreted by the U.S. Internal Revenue Service, over a three-year period. We may have experienced ownership changes in the past and may experience ownership changes in the future as a result of our initial public offering and subsequent shifts in our stock ownership, some of which are outside our control. As a result, our use of federal NOL carryforwards could be limited. State NOL carryforwards may be similarly limited. Any such disallowances may result in greater tax liabilities than we would incur in the absence of such a limitation and any increased liabilities could adversely affect our business, results of operations, financial position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3" w:lineRule="exact"/>
        <w:rPr>
          <w:sz w:val="20"/>
          <w:szCs w:val="20"/>
          <w:color w:val="auto"/>
        </w:rPr>
      </w:pPr>
    </w:p>
    <w:p>
      <w:pPr>
        <w:ind w:right="1420"/>
        <w:spacing w:after="0" w:line="271"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and regulatory approvals, which could delay or prevent commercialization of our product candidates.</w:t>
      </w:r>
    </w:p>
    <w:p>
      <w:pPr>
        <w:spacing w:after="0" w:line="67" w:lineRule="exact"/>
        <w:rPr>
          <w:sz w:val="20"/>
          <w:szCs w:val="20"/>
          <w:color w:val="auto"/>
        </w:rPr>
      </w:pPr>
    </w:p>
    <w:p>
      <w:pPr>
        <w:jc w:val="both"/>
        <w:ind w:right="640" w:firstLine="518"/>
        <w:spacing w:after="0" w:line="261" w:lineRule="auto"/>
        <w:rPr>
          <w:sz w:val="20"/>
          <w:szCs w:val="20"/>
          <w:color w:val="auto"/>
        </w:rPr>
      </w:pPr>
      <w:r>
        <w:rPr>
          <w:rFonts w:ascii="Arial" w:cs="Arial" w:eastAsia="Arial" w:hAnsi="Arial"/>
          <w:sz w:val="17"/>
          <w:szCs w:val="17"/>
          <w:color w:val="auto"/>
        </w:rPr>
        <w:t>All of our product candidates will be subject to rigorous and extensive clinical trials and extensive regulatory approval processes implemented by the FDA and similar regulatory bodies in other countries. The approval process is typically lengthy and expensive, and approval is never certain. We or our collaborator, if any, may delay, suspend or terminate clinical trials at any time for reasons including:</w:t>
      </w:r>
    </w:p>
    <w:p>
      <w:pPr>
        <w:spacing w:after="0" w:line="77" w:lineRule="exact"/>
        <w:rPr>
          <w:sz w:val="20"/>
          <w:szCs w:val="20"/>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w:t>
      </w:r>
    </w:p>
    <w:p>
      <w:pPr>
        <w:spacing w:after="0" w:line="103" w:lineRule="exact"/>
        <w:rPr>
          <w:rFonts w:ascii="Arial" w:cs="Arial" w:eastAsia="Arial" w:hAnsi="Arial"/>
          <w:sz w:val="18"/>
          <w:szCs w:val="18"/>
          <w:color w:val="auto"/>
        </w:rPr>
      </w:pPr>
    </w:p>
    <w:p>
      <w:pPr>
        <w:ind w:left="780" w:right="140" w:hanging="259"/>
        <w:spacing w:after="0" w:line="245"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institutional review boards or other governing entities at clinical sites selected for participation in our clinical trials;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enrolling participants into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w:t>
      </w:r>
    </w:p>
    <w:p>
      <w:pPr>
        <w:spacing w:after="0" w:line="103" w:lineRule="exact"/>
        <w:rPr>
          <w:rFonts w:ascii="Arial" w:cs="Arial" w:eastAsia="Arial" w:hAnsi="Arial"/>
          <w:sz w:val="18"/>
          <w:szCs w:val="18"/>
          <w:color w:val="auto"/>
        </w:rPr>
      </w:pPr>
    </w:p>
    <w:p>
      <w:pPr>
        <w:ind w:left="780" w:right="16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authorities with respect to approval pathways for product candidates we are pursuing, such as draft guidance documents from the FDA for the development of NASH that issued in 2018 and 2019 and from the EMA that issued in 2018;</w:t>
      </w:r>
    </w:p>
    <w:p>
      <w:pPr>
        <w:spacing w:after="0" w:line="93" w:lineRule="exact"/>
        <w:rPr>
          <w:rFonts w:ascii="Arial" w:cs="Arial" w:eastAsia="Arial" w:hAnsi="Arial"/>
          <w:sz w:val="18"/>
          <w:szCs w:val="18"/>
          <w:color w:val="auto"/>
        </w:rPr>
      </w:pPr>
    </w:p>
    <w:p>
      <w:pPr>
        <w:ind w:left="780" w:right="560" w:hanging="259"/>
        <w:spacing w:after="0" w:line="245"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or poorly executed testing or changes in required endpoints by the FDA or comparable foreign authorities;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 materials or other materials necessary to conduct our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FDA inspection and review of a clinical trial site or records of any clinical or preclinical investigation;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serious and unexpected drug-related adverse effects experienced by participants in our clinical trials; or</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11"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204"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have limited experience in conducting the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 will be active, safe or effective. Additional clinical trials may be required if clinical trial results are negative or inconclusive, which will require us to incur additional costs and significant delays. If we do not receive the necessary regulatory approvals, we will not be able to generate product revenue and may not become profitable.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47" w:name="page48"/>
    <w:bookmarkEnd w:id="47"/>
    <w:p>
      <w:pPr>
        <w:ind w:right="40"/>
        <w:spacing w:after="0" w:line="253"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82" w:lineRule="exact"/>
        <w:rPr>
          <w:sz w:val="20"/>
          <w:szCs w:val="20"/>
          <w:color w:val="auto"/>
        </w:rPr>
      </w:pPr>
    </w:p>
    <w:p>
      <w:pPr>
        <w:ind w:right="180" w:firstLine="518"/>
        <w:spacing w:after="0" w:line="238" w:lineRule="auto"/>
        <w:rPr>
          <w:sz w:val="20"/>
          <w:szCs w:val="20"/>
          <w:color w:val="auto"/>
        </w:rPr>
      </w:pPr>
      <w:r>
        <w:rPr>
          <w:rFonts w:ascii="Arial" w:cs="Arial" w:eastAsia="Arial" w:hAnsi="Arial"/>
          <w:sz w:val="18"/>
          <w:szCs w:val="18"/>
          <w:color w:val="auto"/>
        </w:rPr>
        <w:t>Before obtaining marketing approval from regulatory authorities for the sale of future product candidates, we or our partners must conduct extensive preclinical studies and clinical trials to demonstrate the safety and efficacy of the product candidates in humans. Preclinical studies and clinical trials are expensive, will take several years to complete and may not yield results that support further clinical development or product approvals. A failure of one or more clinical trials can occur at any stage of testing.</w:t>
      </w:r>
    </w:p>
    <w:p>
      <w:pPr>
        <w:spacing w:after="0" w:line="204"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Despite the results reported in our Phase 1 and 2 clinical trials for aldafermin, in Phase 1 clinical trials for NGM313, NGM120, and NGM386 and in preclinical studies for our other product candidates, future clinical trials in humans may show that one or more of our product candidates are not safe and effective, in which event we may need to abandon development of such product candidates. It is impossible to predict when or if any of our product candidates will prove effective or safe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206"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Further, we expect that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acceptable to the FDA in our trials. The need for chronic administration also increases the risk that our clinical drug development programs may not uncover all possible adverse events that patients who take our products may eventually experience. The number of patients exposed to our product treatments and the average exposure time in the clinical development programs may be inadequate to detect rare adverse events or chance findings that may only be detected once our products are administered to more patients and for longer periods of time.</w:t>
      </w:r>
    </w:p>
    <w:p>
      <w:pPr>
        <w:spacing w:after="0" w:line="201" w:lineRule="exact"/>
        <w:rPr>
          <w:sz w:val="20"/>
          <w:szCs w:val="20"/>
          <w:color w:val="auto"/>
        </w:rPr>
      </w:pPr>
    </w:p>
    <w:p>
      <w:pPr>
        <w:ind w:right="140" w:firstLine="518"/>
        <w:spacing w:after="0" w:line="245" w:lineRule="auto"/>
        <w:rPr>
          <w:sz w:val="20"/>
          <w:szCs w:val="20"/>
          <w:color w:val="auto"/>
        </w:rPr>
      </w:pPr>
      <w:r>
        <w:rPr>
          <w:rFonts w:ascii="Arial" w:cs="Arial" w:eastAsia="Arial" w:hAnsi="Arial"/>
          <w:sz w:val="18"/>
          <w:szCs w:val="18"/>
          <w:color w:val="auto"/>
        </w:rPr>
        <w:t>If we are unable to successfully discover, develop or enable our partners to develop drugs that are effective and safe in humans, we will not have a viable business.</w:t>
      </w:r>
    </w:p>
    <w:p>
      <w:pPr>
        <w:spacing w:after="0" w:line="28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The Phase 2 clinical trial of aldafermin that has produced NASH histology data is ongoing, and the clinical data produced to date is preliminary and has not been subjected to quality control procedures.</w:t>
      </w:r>
    </w:p>
    <w:p>
      <w:pPr>
        <w:spacing w:after="0" w:line="67"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We have ongoing, Phase 2 clinical trials of aldafermin in NASH. Until the 24-week cohort of the aldafermin Phase 2 clinical trial is completed, we are unable to perform typical quality control procedures on the data produced in this trial to ensure its accuracy. While we believe the data available to date is accurate, until such time as the final quality control procedures are performed it should be regarded as preliminary. Differences between preliminary data and final data may lead us to make different operational decisions regarding or incur additional expenses for the development of aldafermin than we otherwise would if final data was available. Additionally, our business and prospects depend on the development of this program, and, if final data is less promising than the preliminary data suggests, our business and prospects could be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2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Success in preclinical studies and earlier-stage clinical trials does not ensure that later clinical trials will generate the same results or otherwise provide adequate data to demonstrate the effectiveness and safety of our product candidates. Frequently, product candidates that have shown promising results in early clinical trials have subsequently suffered significant setbacks in later clinical trials. To date, some of our clinical trials have involved small patient populations and, because of the small sample size in such trials,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 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48" w:name="page49"/>
    <w:bookmarkEnd w:id="48"/>
    <w:p>
      <w:pPr>
        <w:ind w:right="20"/>
        <w:spacing w:after="0" w:line="237" w:lineRule="auto"/>
        <w:rPr>
          <w:sz w:val="20"/>
          <w:szCs w:val="20"/>
          <w:color w:val="auto"/>
        </w:rPr>
      </w:pPr>
      <w:r>
        <w:rPr>
          <w:rFonts w:ascii="Arial" w:cs="Arial" w:eastAsia="Arial" w:hAnsi="Arial"/>
          <w:sz w:val="18"/>
          <w:szCs w:val="18"/>
          <w:color w:val="auto"/>
        </w:rPr>
        <w:t>studies and earlier-stage clinical trials. Similarly, the outcome of preclinical studies may not predict the success of clinical trials. Moreover, data obtained from preclinical and clinical activities is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9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67"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Conducting clinical trials for any of our drug candidates for approval in the United States requires filing an IND application and reaching agreement with the FDA on clinical protocols, finding appropriate clinical sites and clinical investigators, securing approvals for such studies from the institutional review board at each such site, manufacturing clinical quantities of drug candidates and supplying drug product to clinical sites. Currently, we have multiple active INDs with the FDA in the United States, including for aldafermin for NASH and primary biliary cholangitis, or PBC, for NGM621 for geographic atrophy secondary to age-related macular degeneration and for NGM120 for treatment of solid tumors and pancreatic cancer, and an active Clinical Trial Authorisation in the United Kingdom from the Medicines and Healthcare Products Regulatory Agency for NGM217 for diabetes.</w:t>
      </w:r>
    </w:p>
    <w:p>
      <w:pPr>
        <w:spacing w:after="0" w:line="201"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We do not know whether any other clinical trials will begin as planned, will need to be restructured or will be completed on schedule, or at all. Our product development costs will increase if we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Events that may result in a delay or unsuccessful completion of clinical development include:</w:t>
      </w:r>
    </w:p>
    <w:p>
      <w:pPr>
        <w:spacing w:after="0" w:line="98" w:lineRule="exact"/>
        <w:rPr>
          <w:sz w:val="20"/>
          <w:szCs w:val="20"/>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or CROs, and clinical trial sites;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FDA comments on ongoing clinical trials and potential regulatory holds imposed if such comments are not adequately addressed;</w:t>
      </w:r>
    </w:p>
    <w:p>
      <w:pPr>
        <w:spacing w:after="0" w:line="103" w:lineRule="exact"/>
        <w:rPr>
          <w:rFonts w:ascii="Arial" w:cs="Arial" w:eastAsia="Arial" w:hAnsi="Arial"/>
          <w:sz w:val="18"/>
          <w:szCs w:val="18"/>
          <w:color w:val="auto"/>
        </w:rPr>
      </w:pPr>
    </w:p>
    <w:p>
      <w:pPr>
        <w:ind w:left="780" w:right="280" w:hanging="259"/>
        <w:spacing w:after="0" w:line="245"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03" w:lineRule="exact"/>
        <w:rPr>
          <w:rFonts w:ascii="Arial" w:cs="Arial" w:eastAsia="Arial" w:hAnsi="Arial"/>
          <w:sz w:val="18"/>
          <w:szCs w:val="18"/>
          <w:color w:val="auto"/>
        </w:rPr>
      </w:pPr>
    </w:p>
    <w:p>
      <w:pPr>
        <w:ind w:left="780" w:right="280" w:hanging="259"/>
        <w:spacing w:after="0" w:line="245"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patient enrollment;</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demonstration of a significant adverse safety or tolerability signal limiting the utility of the therapeutic candidate;</w:t>
      </w:r>
    </w:p>
    <w:p>
      <w:pPr>
        <w:spacing w:after="0" w:line="103" w:lineRule="exact"/>
        <w:rPr>
          <w:rFonts w:ascii="Arial" w:cs="Arial" w:eastAsia="Arial" w:hAnsi="Arial"/>
          <w:sz w:val="18"/>
          <w:szCs w:val="18"/>
          <w:color w:val="auto"/>
        </w:rPr>
      </w:pPr>
    </w:p>
    <w:p>
      <w:pPr>
        <w:jc w:val="both"/>
        <w:ind w:left="780" w:right="16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authority recommendations or guidance regarding development of drugs for a particular indication that we are pursuing, such as draft guidance documents from the FDA for the development of NASH that issued in 2018 and 2019 and from the EMA that issued in 2018;</w:t>
      </w:r>
    </w:p>
    <w:p>
      <w:pPr>
        <w:spacing w:after="0" w:line="93" w:lineRule="exact"/>
        <w:rPr>
          <w:rFonts w:ascii="Arial" w:cs="Arial" w:eastAsia="Arial" w:hAnsi="Arial"/>
          <w:sz w:val="18"/>
          <w:szCs w:val="18"/>
          <w:color w:val="auto"/>
        </w:rPr>
      </w:pPr>
    </w:p>
    <w:p>
      <w:pPr>
        <w:ind w:left="780" w:right="60" w:hanging="259"/>
        <w:spacing w:after="0" w:line="245"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clinical trials; or</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11" w:lineRule="exact"/>
        <w:rPr>
          <w:sz w:val="20"/>
          <w:szCs w:val="20"/>
          <w:color w:val="auto"/>
        </w:rPr>
      </w:pPr>
    </w:p>
    <w:p>
      <w:pPr>
        <w:ind w:right="80" w:firstLine="518"/>
        <w:spacing w:after="0" w:line="245" w:lineRule="auto"/>
        <w:rPr>
          <w:sz w:val="20"/>
          <w:szCs w:val="20"/>
          <w:color w:val="auto"/>
        </w:rPr>
      </w:pPr>
      <w:r>
        <w:rPr>
          <w:rFonts w:ascii="Arial" w:cs="Arial" w:eastAsia="Arial" w:hAnsi="Arial"/>
          <w:sz w:val="18"/>
          <w:szCs w:val="18"/>
          <w:color w:val="auto"/>
        </w:rPr>
        <w:t>Our or our partners’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2"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If we or our partners are unable to enroll patients in clinical trials, we will be unable to complete these trials on a timely basis.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03" w:lineRule="exact"/>
        <w:rPr>
          <w:sz w:val="20"/>
          <w:szCs w:val="20"/>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location of clinical sites we enroll;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103" w:lineRule="exact"/>
        <w:rPr>
          <w:rFonts w:ascii="Arial" w:cs="Arial" w:eastAsia="Arial" w:hAnsi="Arial"/>
          <w:sz w:val="18"/>
          <w:szCs w:val="18"/>
          <w:color w:val="auto"/>
        </w:rPr>
      </w:pPr>
    </w:p>
    <w:p>
      <w:pPr>
        <w:ind w:left="780" w:hanging="259"/>
        <w:spacing w:after="0" w:line="245"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98" w:lineRule="exact"/>
        <w:rPr>
          <w:sz w:val="20"/>
          <w:szCs w:val="20"/>
          <w:color w:val="auto"/>
        </w:rPr>
      </w:pPr>
    </w:p>
    <w:p>
      <w:pPr>
        <w:ind w:right="80" w:firstLine="518"/>
        <w:spacing w:after="0" w:line="245" w:lineRule="auto"/>
        <w:rPr>
          <w:sz w:val="20"/>
          <w:szCs w:val="20"/>
          <w:color w:val="auto"/>
        </w:rPr>
      </w:pPr>
      <w:r>
        <w:rPr>
          <w:rFonts w:ascii="Arial" w:cs="Arial" w:eastAsia="Arial" w:hAnsi="Arial"/>
          <w:sz w:val="18"/>
          <w:szCs w:val="18"/>
          <w:color w:val="auto"/>
        </w:rPr>
        <w:t>In particular, there is significant competition for recruiting NASH patients in clinical trials, and we or our partners may be unable to enroll the patients we need to complete clinical trials on a timely basis, or at all.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identify, develop or commercialize potential product candidates.</w:t>
      </w:r>
    </w:p>
    <w:p>
      <w:pPr>
        <w:spacing w:after="0" w:line="125" w:lineRule="exact"/>
        <w:rPr>
          <w:sz w:val="20"/>
          <w:szCs w:val="20"/>
          <w:color w:val="auto"/>
        </w:rPr>
      </w:pPr>
    </w:p>
    <w:p>
      <w:pPr>
        <w:ind w:right="380" w:firstLine="518"/>
        <w:spacing w:after="0"/>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Our research efforts may initially show promise in discovering potential new protein and antibody therapeutics, yet fail to yield product candidates for clinical development for a number of reasons, including:</w:t>
      </w:r>
    </w:p>
    <w:p>
      <w:pPr>
        <w:spacing w:after="0" w:line="94" w:lineRule="exact"/>
        <w:rPr>
          <w:sz w:val="20"/>
          <w:szCs w:val="20"/>
          <w:color w:val="auto"/>
        </w:rPr>
      </w:pPr>
    </w:p>
    <w:p>
      <w:pPr>
        <w:ind w:left="780" w:right="500" w:hanging="259"/>
        <w:spacing w:after="0" w:line="245"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research methodology may not successfully identify medically-relevant protein or antibody therapeutics or potential product candidates;</w:t>
      </w:r>
    </w:p>
    <w:p>
      <w:pPr>
        <w:spacing w:after="0" w:line="90" w:lineRule="exact"/>
        <w:rPr>
          <w:rFonts w:ascii="Arial" w:cs="Arial" w:eastAsia="Arial" w:hAnsi="Arial"/>
          <w:sz w:val="18"/>
          <w:szCs w:val="18"/>
          <w:color w:val="auto"/>
        </w:rPr>
      </w:pPr>
    </w:p>
    <w:p>
      <w:pPr>
        <w:ind w:left="780" w:right="480" w:hanging="259"/>
        <w:spacing w:after="0" w:line="245"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tend to identify and select from our drug discovery efforts novel, untested proteins in the particular disease indication we are pursuing, which we may fail to validate after further research work;</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need to rely on third parties to generate protein or antibody candidates for some of our product candidate programs;</w:t>
      </w:r>
    </w:p>
    <w:p>
      <w:pPr>
        <w:spacing w:after="0" w:line="103" w:lineRule="exact"/>
        <w:rPr>
          <w:rFonts w:ascii="Arial" w:cs="Arial" w:eastAsia="Arial" w:hAnsi="Arial"/>
          <w:sz w:val="18"/>
          <w:szCs w:val="18"/>
          <w:color w:val="auto"/>
        </w:rPr>
      </w:pPr>
    </w:p>
    <w:p>
      <w:pPr>
        <w:ind w:left="780" w:right="260" w:hanging="259"/>
        <w:spacing w:after="0" w:line="245"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90" w:lineRule="exact"/>
        <w:rPr>
          <w:rFonts w:ascii="Arial" w:cs="Arial" w:eastAsia="Arial" w:hAnsi="Arial"/>
          <w:sz w:val="18"/>
          <w:szCs w:val="18"/>
          <w:color w:val="auto"/>
        </w:rPr>
      </w:pPr>
    </w:p>
    <w:p>
      <w:pPr>
        <w:ind w:left="780" w:right="120" w:hanging="259"/>
        <w:spacing w:after="0" w:line="245"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 candidates may cause adverse effects in patients or subjects, even after successful initial toxicology studies, which may make the product candidates unmarketable;</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 candidates may not demonstrate a meaningful benefit to patients or subjects; and</w:t>
      </w:r>
    </w:p>
    <w:p>
      <w:pPr>
        <w:spacing w:after="0" w:line="103" w:lineRule="exact"/>
        <w:rPr>
          <w:rFonts w:ascii="Arial" w:cs="Arial" w:eastAsia="Arial" w:hAnsi="Arial"/>
          <w:sz w:val="18"/>
          <w:szCs w:val="18"/>
          <w:color w:val="auto"/>
        </w:rPr>
      </w:pPr>
    </w:p>
    <w:p>
      <w:pPr>
        <w:ind w:left="780" w:right="100" w:hanging="259"/>
        <w:spacing w:after="0" w:line="245"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collaboration partners may change their development profiles or plans for potential product candidates or abandon a therapeutic area or the development of a partnered product.</w:t>
      </w:r>
    </w:p>
    <w:p>
      <w:pPr>
        <w:spacing w:after="0" w:line="198" w:lineRule="exact"/>
        <w:rPr>
          <w:sz w:val="20"/>
          <w:szCs w:val="20"/>
          <w:color w:val="auto"/>
        </w:rPr>
      </w:pPr>
    </w:p>
    <w:p>
      <w:pPr>
        <w:ind w:right="520" w:firstLine="518"/>
        <w:spacing w:after="0" w:line="238"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programs, which could have a material adverse effect on our business, operating results and prospects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6" w:right="2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products.</w:t>
      </w:r>
    </w:p>
    <w:p>
      <w:pPr>
        <w:spacing w:after="0" w:line="12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To date, our product candidates have been manufactured by third-party manufacturers solely for preclinical studies and clinical trials. These manufacturers may not be able to scale production to the larger quantities required for large clinical trials and to commercialize our product candidates. We have entered into a Development and Manufacturing Services Agreement with Lonza Ltd. for the production of Phase 3 and commercial supplies of aldafermin. The process of manufacturing our products is complex, highly regulated and subject to several risks, including:</w:t>
      </w:r>
    </w:p>
    <w:p>
      <w:pPr>
        <w:spacing w:after="0" w:line="98" w:lineRule="exact"/>
        <w:rPr>
          <w:sz w:val="20"/>
          <w:szCs w:val="20"/>
          <w:color w:val="auto"/>
        </w:rPr>
      </w:pPr>
    </w:p>
    <w:p>
      <w:pPr>
        <w:ind w:left="780" w:right="100" w:hanging="259"/>
        <w:spacing w:after="0" w:line="237"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97"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third-party manufacturer may fail to qualify upon an audit by Merck under our Collaboration Agreement;</w:t>
      </w:r>
    </w:p>
    <w:p>
      <w:pPr>
        <w:spacing w:after="0" w:line="103" w:lineRule="exact"/>
        <w:rPr>
          <w:rFonts w:ascii="Arial" w:cs="Arial" w:eastAsia="Arial" w:hAnsi="Arial"/>
          <w:sz w:val="18"/>
          <w:szCs w:val="18"/>
          <w:color w:val="auto"/>
        </w:rPr>
      </w:pPr>
    </w:p>
    <w:p>
      <w:pPr>
        <w:ind w:left="780" w:right="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financial difficulties of our contract manufacturers, natural disasters, power failures, local political unrest and numerous other factors; and</w:t>
      </w:r>
    </w:p>
    <w:p>
      <w:pPr>
        <w:spacing w:after="0" w:line="93" w:lineRule="exact"/>
        <w:rPr>
          <w:rFonts w:ascii="Arial" w:cs="Arial" w:eastAsia="Arial" w:hAnsi="Arial"/>
          <w:sz w:val="18"/>
          <w:szCs w:val="18"/>
          <w:color w:val="auto"/>
        </w:rPr>
      </w:pPr>
    </w:p>
    <w:p>
      <w:pPr>
        <w:ind w:left="780" w:hanging="259"/>
        <w:spacing w:after="0" w:line="23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204"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Certain raw materials necessary for the manufacture of our product candidates under our current manufacturing process, such as reagents that support cell growth, are available only from a single supplier and have been purchased without a long-term supply agreement. For example, we have a non-exclusive license from Lonza Sales AG to use its glutamine synthetase gene expression system, available only from Lonza Sales AG, to manufacture and commercialize our proprietary products, including our product candidates that are currently subject to our collaboration with Merck. We do not have agreements in place that guarantee our supply or the price of these raw materials.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pacing w:after="0" w:line="201"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assure you that any stability or other issues relating to the manufacture of our product candidates will not occur in the future.</w:t>
      </w:r>
    </w:p>
    <w:p>
      <w:pPr>
        <w:spacing w:after="0" w:line="204"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human clinical trials or commercialization.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51" w:name="page52"/>
    <w:bookmarkEnd w:id="51"/>
    <w:p>
      <w:pPr>
        <w:ind w:right="46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67"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Additional clinical trials may be required to evaluate the safety profile of our product candidates. Serious adverse events that were reported in our completed Phase 1 and Phase 2 clinical trials of aldafermin include: moderate dizziness, community acquired pneumonia, iron deficiency anemia, fractured finger, pneumonitis/alveolitis, acute pancreatitis, pneumonia, pleurisy, non-myocardial infarction cardiac arrest, chest pain, vertigo, headache, accelerated hypertension, kidney mass, bowel obstruction, bilirubin increase, cholangitis, progression of primary sclerosing cholangitis, or PSC, and intervertebral discitis. In our completed Phase 1 and Phase 1b clinical trials of NGM313, there were two reported serious adverse events: cholecystitis and rectal bleeding due to hemorrhoids, both of which were deemed by the investigators to be unrelated to treatment with NGM313. In our completed Phase 1 clinical trial of NGM120, preliminary data indicate there were three reported serious adverse events: renal colic, bipolar disorder and panic attack, all of which were deemed by the investigators to be unrelated to treatment with NGM120 or placebo.</w:t>
      </w:r>
    </w:p>
    <w:p>
      <w:pPr>
        <w:spacing w:after="0" w:line="203"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Significant increases in serum levels of low density lipoprotein, or LDL, cholesterol were observed in clinical trials of aldafermin in NASH and type 2 diabetes. The drug-induced changes in LDL cholesterol were brought back to baseline levels with concomitant statin use in NASH patients, however, sustained LDL cholesterol elevations in untreated patients can be associated with cardiovascular disease. While the impact of these drug-induced changes in cholesterol are unknown, we believe that concomitant statin use, along with aldafermin’s triglyceride lowering and high density lipoprotein, or HDL, cholesterol elevating properties, will provide an overall neutral to positive impact on patients’ cardiovascular health. We have not observed any significant changes in LDL cholesterol with aldafermin in trials we have conducted in patients with cholestatic liver disease, such as PBC and PSC.</w:t>
      </w:r>
    </w:p>
    <w:p>
      <w:pPr>
        <w:spacing w:after="0" w:line="20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One subject in the aldafermin Phase 2 clinical trial in type 2 diabetes developed antibodies against aldafermin that appear to cross-react with FGF19. This patient did not demonstrate any biochemical or clinical safety concerns while in the study, and we have not identified any safety concerns while monitoring the subject following the study. Six of the 36 subjects in the aldafermin Phase 2 extension clinical trial in PBC were confirmed to have antibodies against aldafermin. These subjects have not demonstrated any biochemical or clinical safety signals that were different from observations in subjects that did not generate antibodies against aldafermin. However, future results of our trials could reveal a high and unacceptable severity and prevalence of side effects or unexpected characteristics. In such an event, we could suspend or terminate our trials or the FDA or comparable foreign regulatory authorities could order us to cease clinical trials or deny approval of our product candidates for any or all targeted indications. Drug-related side effects could affect patient recruitment or the ability of enrolled subjects to complete the trial or result in potential product liability claims. Any of these occurrences could materially and adversely affect our business, financial condition and prospects.</w:t>
      </w:r>
    </w:p>
    <w:p>
      <w:pPr>
        <w:spacing w:after="0" w:line="29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Our most advanced clinical-stage product candidate, aldafermin, is a modified version of a human hormone that has been associated with liver cancer in rodent testing.</w:t>
      </w:r>
    </w:p>
    <w:p>
      <w:pPr>
        <w:spacing w:after="0" w:line="67"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Aldafermin is a modified version of FGF19, a human hormone that has been associated with liver cancer in rodent testing. The IND that we filed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Gastroenterology and Inborn Errors Products, which is responsible for the NASH indication, has not requested any additional information regarding the potential for aldafermin to induce hepatocellular proliferation. We have received feedback from the FDA Carcinogenicity Assessment Committee, or CAC,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We believe we have identified a modified version of FGF19 that does not exhibit the cancer causing effects of native human FGF19 in rodents. We believe that aldafermin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aldafermin.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52" w:name="page53"/>
    <w:bookmarkEnd w:id="52"/>
    <w:p>
      <w:pPr>
        <w:ind w:right="440"/>
        <w:spacing w:after="0" w:line="271"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6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which will be expensive and time consuming,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125"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may also be incorrect and could cause us to miss valuable opportunities.</w:t>
      </w:r>
    </w:p>
    <w:p>
      <w:pPr>
        <w:spacing w:after="0" w:line="204"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29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and our scientific advisors or continue to attract and retain qualified scientific, technical and business personnel, our business will suffer. The departure of Dr. Chen within the next several years would permit Merck to shift the focus under our Collaboration Agreement to concentrate on the development of later-stage product candidates.</w:t>
      </w:r>
    </w:p>
    <w:p>
      <w:pPr>
        <w:spacing w:after="0" w:line="91"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We are dependent on the members of our management team and our scientific advisors for our business success. An important element of our strategy is to take advantage of the research and development expertise of our current management and to utilize the expertise of our scientific advisors in the cardio-metabolic, liver, oncologic and ophthalmic disease fields. We currently have employment letter agreements with all of our executive officers. Our employment agreements with our executive officers are terminable by them without notice and some provide for severance and change in control benefits. The loss of any one of our executive officers or key scientific consultants,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 Prior to March 17, 2020, the departure of Dr. Chen as our employee or director of our research (other than on account of his employment by Merck) would give Merck the right to shift the focus of its research and development funding to concentrate on the development of later-stage product candidates, but Merck would not have the right to terminate or otherwise alter the conduct of the collaboration.</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56" w:right="319" w:bottom="1440" w:gutter="0" w:footer="0" w:header="0"/>
        </w:sectPr>
      </w:pPr>
    </w:p>
    <w:bookmarkStart w:id="53" w:name="page54"/>
    <w:bookmarkEnd w:id="53"/>
    <w:p>
      <w:pPr>
        <w:ind w:right="80" w:firstLine="518"/>
        <w:spacing w:after="0" w:line="236"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scientific, administrative and commercial personnel. There is intense competition for qualified personnel, including management in the technical fields in which we operate, and we may not be able to attract and retain qualified personnel necessary for the successful research, development and commercialization of our product candidates. In particular, we have experienced a very competitive hiring environment in the San Francisco Bay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90"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67"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Any agreements we have or may enter into with third parties, such as collaboration, license, formulation supplier, manufacturing, clinical research organization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intend to conduct research programs in a range of therapeutic areas, but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205" w:lineRule="exact"/>
        <w:rPr>
          <w:sz w:val="20"/>
          <w:szCs w:val="20"/>
          <w:color w:val="auto"/>
        </w:rPr>
      </w:pPr>
    </w:p>
    <w:p>
      <w:pPr>
        <w:ind w:right="600" w:firstLine="518"/>
        <w:spacing w:after="0"/>
        <w:rPr>
          <w:sz w:val="20"/>
          <w:szCs w:val="20"/>
          <w:color w:val="auto"/>
        </w:rPr>
      </w:pPr>
      <w:r>
        <w:rPr>
          <w:rFonts w:ascii="Arial" w:cs="Arial" w:eastAsia="Arial" w:hAnsi="Arial"/>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2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Since executing the Merck agreement in 2015, we have significantly increased our headcount and advanced our pipeline and the complexity of our operations, which has placed a strain on our administrative and operational infrastructure. We expect this strain to continue as we maintain our growth and seek to obtain and manage relationships with third parties. Our ability to manage our operations and growth effectively depends upon the continual improvement of our procedures, reporting systems and operational, financial and management controls.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205"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54" w:name="page55"/>
    <w:bookmarkEnd w:id="54"/>
    <w:p>
      <w:pPr>
        <w:ind w:right="320"/>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7"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 Bayer, Bristol-Myers Squibb, Eisai, Eli Lilly, GlaxoSmithKline, Johnson &amp; Johnson, Merck, Novartis, Novo Nordisk, Pfizer, Roche, Sanofi and Takeda, as well as large and small biotechnology companies such as 89Bio, Akero, Albireo, Amgen, Can-Fite, Cirius, CymaBay, Enanta, Galectin, Galmed, Genfit, Gilead, Intercept, Inventiva, Madrigal, MannKind, MediciNova, Metacrine, Nalpropion, Terns, Viking, Vivus and Zafgen, are pursuing the development or marketing of pharmaceuticals that target the same diseases that are targeted by our most advanced product candidates. It is probable that the number of companies seeking to develop products and therapies for the treatment of cardio-metabolic disorders, liver, oncologic and ophthalmic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testing and human clinical trials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1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20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pacing w:after="0" w:line="204"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If aldafermin or NGM313 were approved for the treatment of NASH, future competition could also arise from products currently in development, including: cenicriviroc, an immunomodulator that blocks CCR2 and CCR5 from Allergan; firsocostat, an ACC inhibitor and cilofexor, an FXR agonist from Gilead; OCA, an FXR agonist, from Intercept; MGL-3196, a beta-thyroid hormone receptor agonist from Madrigal; pegbelfermin, PEGylated FGF21, from Bristol-Myers Squibb; AKR-001, an Fc conjugated FGF21 from Akero; elobixibat, an IBAT-inhibitor from Albireo; a Galectin-3 inhibitor from Galectin; a synthetic conjugate of cholic acid and arachidic acid from Galmed; an FXR agonist from Metacrine; FXR agonists from Novartis; semaglutide, a GLP-1 analog from Novo Nordisk; a mitochondrial pyruvate complex modulator from Cirius; a PPAR delta agonist from CymaBay; and a PPAR alpha/delta agonist from Genfit. The foregoing competitive risks apply to aldafermin, any variants of aldafermin, including the second-generation, half-life extended version of FGF19 we are currently developing and NGM313.</w:t>
      </w:r>
    </w:p>
    <w:p>
      <w:pPr>
        <w:spacing w:after="0" w:line="205" w:lineRule="exact"/>
        <w:rPr>
          <w:sz w:val="20"/>
          <w:szCs w:val="20"/>
          <w:color w:val="auto"/>
        </w:rPr>
      </w:pPr>
    </w:p>
    <w:p>
      <w:pPr>
        <w:ind w:right="460" w:firstLine="518"/>
        <w:spacing w:after="0"/>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Thiazolidinediones (TZDs); Alpha-glucosidase inhibitors (AGIs); Dipeptidyl peptidase 4 (DPP4) inhibitors; Glucagon-like peptide-1 (GLP-1)</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6" w:right="279" w:bottom="1440" w:gutter="0" w:footer="0" w:header="0"/>
        </w:sectPr>
      </w:pPr>
    </w:p>
    <w:bookmarkStart w:id="55" w:name="page56"/>
    <w:bookmarkEnd w:id="55"/>
    <w:p>
      <w:pPr>
        <w:ind w:right="100"/>
        <w:spacing w:after="0" w:line="238" w:lineRule="auto"/>
        <w:rPr>
          <w:sz w:val="20"/>
          <w:szCs w:val="20"/>
          <w:color w:val="auto"/>
        </w:rPr>
      </w:pPr>
      <w:r>
        <w:rPr>
          <w:rFonts w:ascii="Arial" w:cs="Arial" w:eastAsia="Arial" w:hAnsi="Arial"/>
          <w:sz w:val="18"/>
          <w:szCs w:val="18"/>
          <w:color w:val="auto"/>
        </w:rPr>
        <w:t>analogues; SGLT2 inhibitors; and Insulins, including injectable and inhaled versions. Further competition could arise from products currently in development, including: 11 beta HSD (Incyte, Japan Tobacco, Roche); GPR40 (Connexios, Takeda); and oral GLP-1 mimetics (Novo Nordisk). Some of these programs have been advanced further in clinical development than our product candidates and could receive approval before our product candidates are approved, if they are approved at all.</w:t>
      </w:r>
    </w:p>
    <w:p>
      <w:pPr>
        <w:spacing w:after="0" w:line="290"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7"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pharmaceutical companies and others in the medical community.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We cannot be certain that third-party payors will sufficiently reimburse sales of our products, or otherwise enable us to sell our products at profitable prices. Similar concerns could also limit the reimbursement amounts that health insurers or government agencies in other countries are prepared to pay for our products. In many regions, including Europe, Japan and Canada, where we may market our products, either directly or with our collaborators, the pricing of prescription drugs is controlled by the government or regulatory agencies. Regulatory agencies in these countries could determine that the pricing for our products should be based on prices of other commercially available drugs for the same disease, rather than allowing us to market our products at a premium as new drugs. The degree of market acceptance of any of our approved product candidates will depend on a number of factors, including:</w:t>
      </w:r>
    </w:p>
    <w:p>
      <w:pPr>
        <w:spacing w:after="0" w:line="104" w:lineRule="exact"/>
        <w:rPr>
          <w:sz w:val="20"/>
          <w:szCs w:val="20"/>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56" w:name="page57"/>
    <w:bookmarkEnd w:id="56"/>
    <w:p>
      <w:pPr>
        <w:ind w:right="160" w:firstLine="518"/>
        <w:spacing w:after="0" w:line="252" w:lineRule="auto"/>
        <w:rPr>
          <w:sz w:val="20"/>
          <w:szCs w:val="20"/>
          <w:color w:val="auto"/>
        </w:rPr>
      </w:pPr>
      <w:r>
        <w:rPr>
          <w:rFonts w:ascii="Arial" w:cs="Arial" w:eastAsia="Arial" w:hAnsi="Arial"/>
          <w:sz w:val="17"/>
          <w:szCs w:val="17"/>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281"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44"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205"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125"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204" w:lineRule="exact"/>
        <w:rPr>
          <w:sz w:val="20"/>
          <w:szCs w:val="20"/>
          <w:color w:val="auto"/>
        </w:rPr>
      </w:pPr>
    </w:p>
    <w:p>
      <w:pPr>
        <w:ind w:right="60" w:firstLine="518"/>
        <w:spacing w:after="0" w:line="251" w:lineRule="auto"/>
        <w:rPr>
          <w:sz w:val="20"/>
          <w:szCs w:val="20"/>
          <w:color w:val="auto"/>
        </w:rPr>
      </w:pPr>
      <w:r>
        <w:rPr>
          <w:rFonts w:ascii="Arial" w:cs="Arial" w:eastAsia="Arial" w:hAnsi="Arial"/>
          <w:sz w:val="17"/>
          <w:szCs w:val="17"/>
          <w:color w:val="auto"/>
        </w:rPr>
        <w:t>In March 2010, the Patient Protection and Affordable Care Act, as amended by the Health Care and Education Reconciliation Act of 2010, or, collectively, the Affordable Care Act, was enacted, which includes measures that have significantly changed the way health care is financed by both governmental and private insurers. Some of the provisions of the Affordable Care Act have yet to be implemented, and there have been judicial and congressional challenges to certain aspects of the Affordable Care Act.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U.S. House of Representatives passed legislation known as the American Health Care Act of 2017. More recently, the Senate Republicans introduced and then updated a bill to replace the Affordable Care Act known as the Better Care Reconciliation Act of 2017. The Senate Republicans also introduced legislation to repeal the Affordable Care Act without companion legislation to replace it, and a “skinny” version of the Better Care Reconciliation Act of 2017.</w:t>
      </w:r>
    </w:p>
    <w:p>
      <w:pPr>
        <w:spacing w:after="0" w:line="195"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Each of these measures was rejected by the full Senate. While Congress has not passed comprehensive repeal legislation, it has enacted laws that modify certain provisions of the Affordable Care Act such as removing penalties, starting January 1, 2019, for not complying with the Affordable Care Act’s individual mandate to carry health insurance and delaying the implementation of certain Affordable Care Act - mandated fees. Congress will likely consider other legislation to replace elements of the Affordable Care Act. In December 2018, a United States District Court judge in Texas ruled that the Affordable Care Act is unconstitutional in its entirety because the “individual mandate” was repealed by Congress as part of the Tax Cuts and Jobs Act of 2017. While this U.S. District Court judge, as well as the Trump administration and Centers for Medicare and Medicaid Services, have stated that the ruling will have no immediate effect pending appeal of the decision, it is unclear how this decision, subsequent appeals and other efforts to repeal and replace the Affordable Care Act will impact the Affordable Care Act and our business.</w:t>
      </w:r>
    </w:p>
    <w:p>
      <w:pPr>
        <w:spacing w:after="0" w:line="205"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For example, in August 2011, the Budget Control Act of 2011 was enacted,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Recently,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Trump administration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11"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58" w:name="page59"/>
    <w:bookmarkEnd w:id="58"/>
    <w:p>
      <w:pPr>
        <w:ind w:right="60"/>
        <w:spacing w:after="0" w:line="271"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7"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centers are located outside of the United States. Furthermore, if we or our collaborator succeeds in developing any products, we intend to market them in the European Union and other jurisdictions in addition to the United States. If approved, we or our collaborator may hire sales representatives and conduct physician and patient association outreach activities outside of the United States. Doing business internationally involves a number of risks, including but not limited to:</w:t>
      </w:r>
    </w:p>
    <w:p>
      <w:pPr>
        <w:spacing w:after="0" w:line="98" w:lineRule="exact"/>
        <w:rPr>
          <w:sz w:val="20"/>
          <w:szCs w:val="20"/>
          <w:color w:val="auto"/>
        </w:rPr>
      </w:pPr>
    </w:p>
    <w:p>
      <w:pPr>
        <w:ind w:left="780" w:right="820" w:hanging="259"/>
        <w:spacing w:after="0" w:line="245"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03" w:lineRule="exact"/>
        <w:rPr>
          <w:rFonts w:ascii="Arial" w:cs="Arial" w:eastAsia="Arial" w:hAnsi="Arial"/>
          <w:sz w:val="18"/>
          <w:szCs w:val="18"/>
          <w:color w:val="auto"/>
        </w:rPr>
      </w:pPr>
    </w:p>
    <w:p>
      <w:pPr>
        <w:ind w:left="780" w:hanging="259"/>
        <w:spacing w:after="0" w:line="245"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90" w:lineRule="exact"/>
        <w:rPr>
          <w:rFonts w:ascii="Arial" w:cs="Arial" w:eastAsia="Arial" w:hAnsi="Arial"/>
          <w:sz w:val="18"/>
          <w:szCs w:val="18"/>
          <w:color w:val="auto"/>
        </w:rPr>
      </w:pPr>
    </w:p>
    <w:p>
      <w:pPr>
        <w:ind w:left="780" w:right="600" w:hanging="259"/>
        <w:spacing w:after="0" w:line="245"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03" w:lineRule="exact"/>
        <w:rPr>
          <w:rFonts w:ascii="Arial" w:cs="Arial" w:eastAsia="Arial" w:hAnsi="Arial"/>
          <w:sz w:val="18"/>
          <w:szCs w:val="18"/>
          <w:color w:val="auto"/>
        </w:rPr>
      </w:pPr>
    </w:p>
    <w:p>
      <w:pPr>
        <w:ind w:left="780" w:right="30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202" w:lineRule="exact"/>
        <w:rPr>
          <w:sz w:val="20"/>
          <w:szCs w:val="20"/>
          <w:color w:val="auto"/>
        </w:rPr>
      </w:pPr>
    </w:p>
    <w:p>
      <w:pPr>
        <w:ind w:right="680" w:firstLine="518"/>
        <w:spacing w:after="0" w:line="245"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28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7"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98" w:lineRule="exact"/>
        <w:rPr>
          <w:sz w:val="20"/>
          <w:szCs w:val="20"/>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59" w:name="page60"/>
    <w:bookmarkEnd w:id="59"/>
    <w:p>
      <w:pPr>
        <w:ind w:right="40" w:firstLine="518"/>
        <w:spacing w:after="0" w:line="236"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29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82" w:lineRule="exact"/>
        <w:rPr>
          <w:sz w:val="20"/>
          <w:szCs w:val="20"/>
          <w:color w:val="auto"/>
        </w:rPr>
      </w:pPr>
    </w:p>
    <w:p>
      <w:pPr>
        <w:ind w:right="220" w:firstLine="518"/>
        <w:spacing w:after="0" w:line="23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or our collaborator obtains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our collaborator obtains marketing approval. Restrictions under applicable federal and state healthcare laws and regulations, include the following:</w:t>
      </w:r>
    </w:p>
    <w:p>
      <w:pPr>
        <w:spacing w:after="0" w:line="98" w:lineRule="exact"/>
        <w:rPr>
          <w:sz w:val="20"/>
          <w:szCs w:val="20"/>
          <w:color w:val="auto"/>
        </w:rPr>
      </w:pPr>
    </w:p>
    <w:p>
      <w:pPr>
        <w:ind w:left="780" w:right="40" w:hanging="259"/>
        <w:spacing w:after="0" w:line="23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780" w:right="160" w:hanging="259"/>
        <w:spacing w:after="0" w:line="272" w:lineRule="auto"/>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through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8" w:lineRule="exact"/>
        <w:rPr>
          <w:rFonts w:ascii="Arial" w:cs="Arial" w:eastAsia="Arial" w:hAnsi="Arial"/>
          <w:sz w:val="17"/>
          <w:szCs w:val="17"/>
          <w:color w:val="auto"/>
        </w:rPr>
      </w:pPr>
    </w:p>
    <w:p>
      <w:pPr>
        <w:ind w:left="780" w:hanging="259"/>
        <w:spacing w:after="0" w:line="23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96" w:lineRule="exact"/>
        <w:rPr>
          <w:rFonts w:ascii="Arial" w:cs="Arial" w:eastAsia="Arial" w:hAnsi="Arial"/>
          <w:sz w:val="18"/>
          <w:szCs w:val="18"/>
          <w:color w:val="auto"/>
        </w:rPr>
      </w:pPr>
    </w:p>
    <w:p>
      <w:pPr>
        <w:ind w:left="780" w:right="60" w:hanging="259"/>
        <w:spacing w:after="0" w:line="237"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97" w:lineRule="exact"/>
        <w:rPr>
          <w:rFonts w:ascii="Arial" w:cs="Arial" w:eastAsia="Arial" w:hAnsi="Arial"/>
          <w:sz w:val="18"/>
          <w:szCs w:val="18"/>
          <w:color w:val="auto"/>
        </w:rPr>
      </w:pPr>
    </w:p>
    <w:p>
      <w:pPr>
        <w:ind w:left="780" w:right="40" w:hanging="259"/>
        <w:spacing w:after="0" w:line="237"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93" w:lineRule="exact"/>
        <w:rPr>
          <w:rFonts w:ascii="Arial" w:cs="Arial" w:eastAsia="Arial" w:hAnsi="Arial"/>
          <w:sz w:val="18"/>
          <w:szCs w:val="18"/>
          <w:color w:val="auto"/>
        </w:rPr>
      </w:pPr>
    </w:p>
    <w:p>
      <w:pPr>
        <w:ind w:left="780" w:right="60" w:hanging="259"/>
        <w:spacing w:after="0" w:line="236"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0" w:right="279" w:bottom="1440" w:gutter="0" w:footer="0" w:header="0"/>
        </w:sectPr>
      </w:pPr>
    </w:p>
    <w:bookmarkStart w:id="60" w:name="page61"/>
    <w:bookmarkEnd w:id="60"/>
    <w:p>
      <w:pPr>
        <w:ind w:firstLine="518"/>
        <w:spacing w:after="0" w:line="236"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29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7" w:lineRule="exact"/>
        <w:rPr>
          <w:sz w:val="20"/>
          <w:szCs w:val="20"/>
          <w:color w:val="auto"/>
        </w:rPr>
      </w:pPr>
    </w:p>
    <w:p>
      <w:pPr>
        <w:ind w:right="200" w:firstLine="518"/>
        <w:spacing w:after="0" w:line="237" w:lineRule="auto"/>
        <w:rPr>
          <w:sz w:val="20"/>
          <w:szCs w:val="20"/>
          <w:color w:val="auto"/>
        </w:rPr>
      </w:pPr>
      <w:r>
        <w:rPr>
          <w:rFonts w:ascii="Arial" w:cs="Arial" w:eastAsia="Arial" w:hAnsi="Arial"/>
          <w:sz w:val="18"/>
          <w:szCs w:val="18"/>
          <w:color w:val="auto"/>
        </w:rPr>
        <w:t>Our former facility was subject to electrical blackouts as a result of a shortage of available electrical power. Future blackouts could disrupt the operations of our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 and any losses or damages incurred by us could harm our business. The contract manufacturing organization that is the sole supplier of clinical drug substance of NGM313, NGM120, NGM217, NGM621, NGM386 and NGM395, is located in a region that has experienced recent political unrest.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125"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Similar to other companies in our industry, we face substantial cybersecurity risk. Despite the implementation of security measures, our internal computer systems and those of our current and future CROs and other contractors and consultants may fail and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similar events relating to their computer systems could also have a material adverse effect on our business. In 2017, a security breach of the internal computer systems of our collaborator, Merck, caused material damage to its operations, but did not affect our internal operations. In June 2019, a vendor that conducted bioanalytical services for some of our aldafermin clinical trials was affected by a ransomware attack that resulted in a significant disruption to its IT systems. This cybersecurity incident at our vendor resulted in an integrity loss of certain clinical sample data for aldafermin that may result in material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hindered or delayed.</w:t>
      </w:r>
    </w:p>
    <w:p>
      <w:pPr>
        <w:spacing w:after="0" w:line="29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collection, use, processing and cross-border transfer of personal information.</w:t>
      </w:r>
    </w:p>
    <w:p>
      <w:pPr>
        <w:spacing w:after="0" w:line="67"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61" w:name="page62"/>
    <w:bookmarkEnd w:id="61"/>
    <w:p>
      <w:pPr>
        <w:ind w:right="320"/>
        <w:spacing w:after="0" w:line="245" w:lineRule="auto"/>
        <w:rPr>
          <w:sz w:val="20"/>
          <w:szCs w:val="20"/>
          <w:color w:val="auto"/>
        </w:rPr>
      </w:pPr>
      <w:r>
        <w:rPr>
          <w:rFonts w:ascii="Arial" w:cs="Arial" w:eastAsia="Arial" w:hAnsi="Arial"/>
          <w:sz w:val="18"/>
          <w:szCs w:val="18"/>
          <w:color w:val="auto"/>
        </w:rPr>
        <w:t>European Union may result in substantial fines, other administrative penalties and civil claims being brought against us, which could have a material adverse effect on our business, financial condition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25"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103"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i w:val="1"/>
          <w:iCs w:val="1"/>
          <w:color w:val="auto"/>
        </w:rPr>
        <w:t>We depend on our collaboration with Merck and may depend in the future on collaborations with additional third parties for the development and commercialization of our product candidates. If those collaborations are not successful, we may not be able to capitalize on the market potential of these product candidates.</w:t>
      </w:r>
    </w:p>
    <w:p>
      <w:pPr>
        <w:spacing w:after="0" w:line="82" w:lineRule="exact"/>
        <w:rPr>
          <w:sz w:val="20"/>
          <w:szCs w:val="20"/>
          <w:color w:val="auto"/>
        </w:rPr>
      </w:pPr>
    </w:p>
    <w:p>
      <w:pPr>
        <w:ind w:right="40" w:firstLine="518"/>
        <w:spacing w:after="0" w:line="251" w:lineRule="auto"/>
        <w:rPr>
          <w:sz w:val="20"/>
          <w:szCs w:val="20"/>
          <w:color w:val="auto"/>
        </w:rPr>
      </w:pPr>
      <w:r>
        <w:rPr>
          <w:rFonts w:ascii="Arial" w:cs="Arial" w:eastAsia="Arial" w:hAnsi="Arial"/>
          <w:sz w:val="17"/>
          <w:szCs w:val="17"/>
          <w:color w:val="auto"/>
        </w:rPr>
        <w:t>In February 2015, we entered into a collaboration with Merck focused on the discovery, development and commercialization of biologics, including NGM313, NGM386, NGM395, NGM217, NGM120 and NGM621 but excluding aldafermin. In November 2018, Merck exercised its option to license NGM313. Merck’s license to the GDF15 receptor agonist program, including NGM386 and NGM395, was terminated effective May 31, 2019. On March 15, 2019, Merck exercised its option to extend the collaboration for an additional two years, from March 17, 2020 through March 16, 2022. The collaboration involves a complex allocation of rights, provides for substantial research and development support, provides for additional payments upon Merck’s election to extend the term of the research program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that we would provide sales representatives to co-detail the product candidates that Merck elects to advance in the United States. We cannot predict the success of the collaboration, including whether Merck exercises its option to license additional product candidates or terminates its license to a program.</w:t>
      </w:r>
    </w:p>
    <w:p>
      <w:pPr>
        <w:spacing w:after="0" w:line="19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aldafermin, NGM386 and NGM395.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03" w:lineRule="exact"/>
        <w:rPr>
          <w:sz w:val="20"/>
          <w:szCs w:val="20"/>
          <w:color w:val="auto"/>
        </w:rPr>
      </w:pPr>
    </w:p>
    <w:p>
      <w:pPr>
        <w:ind w:left="780" w:right="160" w:hanging="259"/>
        <w:spacing w:after="0" w:line="254" w:lineRule="auto"/>
        <w:tabs>
          <w:tab w:leader="none" w:pos="7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 For example, under our collaboration with Merck, once proof-of-concept data has been generated and Merck has exercised its option to acquire an exclusive license for a product candidate, our ability to influence the resources Merck devotes to such product candidate will be substantially reduced until such time, if any, that we exercise our right to participate in a cost and profit sharing arrangement. Even after we exercise that right to participate in a cost and profit sharing arrangement, our ability to influence Merck will be limited.</w:t>
      </w:r>
    </w:p>
    <w:p>
      <w:pPr>
        <w:spacing w:after="0" w:line="85" w:lineRule="exact"/>
        <w:rPr>
          <w:rFonts w:ascii="Arial" w:cs="Arial" w:eastAsia="Arial" w:hAnsi="Arial"/>
          <w:sz w:val="17"/>
          <w:szCs w:val="17"/>
          <w:color w:val="auto"/>
        </w:rPr>
      </w:pPr>
    </w:p>
    <w:p>
      <w:pPr>
        <w:ind w:left="780" w:right="140" w:hanging="259"/>
        <w:spacing w:after="0" w:line="237"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Merck might opt not to exercise its option to acquire a license to a product candidate that has generated proof-of-concept data, or Merck may opt to terminate its license to a program, as it did for NGM386 and NGM395.</w:t>
      </w:r>
    </w:p>
    <w:p>
      <w:pPr>
        <w:spacing w:after="0" w:line="97" w:lineRule="exact"/>
        <w:rPr>
          <w:rFonts w:ascii="Arial" w:cs="Arial" w:eastAsia="Arial" w:hAnsi="Arial"/>
          <w:sz w:val="18"/>
          <w:szCs w:val="18"/>
          <w:color w:val="auto"/>
        </w:rPr>
      </w:pPr>
    </w:p>
    <w:p>
      <w:pPr>
        <w:ind w:left="780" w:right="80" w:hanging="259"/>
        <w:spacing w:after="0" w:line="254" w:lineRule="auto"/>
        <w:tabs>
          <w:tab w:leader="none" w:pos="7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For example, under our agreement with Merck, it is possible for Merck to terminate the NGM313 program and any program for which we have not exercised our cost and profit sharing option upon prior written notice or terminate any program for which we have exercised our cost and profit sharing option upon prior written notice, without triggering a termination of the remainder of the collaboration arrangement.</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62" w:name="page63"/>
    <w:bookmarkEnd w:id="62"/>
    <w:p>
      <w:pPr>
        <w:ind w:left="780" w:right="60" w:hanging="25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93" w:lineRule="exact"/>
        <w:rPr>
          <w:rFonts w:ascii="Arial" w:cs="Arial" w:eastAsia="Arial" w:hAnsi="Arial"/>
          <w:sz w:val="18"/>
          <w:szCs w:val="18"/>
          <w:color w:val="auto"/>
        </w:rPr>
      </w:pPr>
    </w:p>
    <w:p>
      <w:pPr>
        <w:ind w:left="780" w:right="120" w:hanging="259"/>
        <w:spacing w:after="0" w:line="245"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medicines might not commit sufficient resources to the marketing and distribution of our product candidates.</w:t>
      </w:r>
    </w:p>
    <w:p>
      <w:pPr>
        <w:spacing w:after="0" w:line="90" w:lineRule="exact"/>
        <w:rPr>
          <w:rFonts w:ascii="Arial" w:cs="Arial" w:eastAsia="Arial" w:hAnsi="Arial"/>
          <w:sz w:val="18"/>
          <w:szCs w:val="18"/>
          <w:color w:val="auto"/>
        </w:rPr>
      </w:pPr>
    </w:p>
    <w:p>
      <w:pPr>
        <w:ind w:left="780" w:right="60" w:hanging="259"/>
        <w:spacing w:after="0" w:line="237"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our collaboration arrangement with respect to certain licensed programs and, although we may have the right to assume the maintenance and defense of our intellectual property rights if Merck does not, our ability to do so may be compromised by Merck’s actions.</w:t>
      </w:r>
    </w:p>
    <w:p>
      <w:pPr>
        <w:spacing w:after="0" w:line="97" w:lineRule="exact"/>
        <w:rPr>
          <w:rFonts w:ascii="Arial" w:cs="Arial" w:eastAsia="Arial" w:hAnsi="Arial"/>
          <w:sz w:val="18"/>
          <w:szCs w:val="18"/>
          <w:color w:val="auto"/>
        </w:rPr>
      </w:pPr>
    </w:p>
    <w:p>
      <w:pPr>
        <w:ind w:left="780" w:right="480" w:hanging="25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93" w:lineRule="exact"/>
        <w:rPr>
          <w:rFonts w:ascii="Arial" w:cs="Arial" w:eastAsia="Arial" w:hAnsi="Arial"/>
          <w:sz w:val="18"/>
          <w:szCs w:val="18"/>
          <w:color w:val="auto"/>
        </w:rPr>
      </w:pPr>
    </w:p>
    <w:p>
      <w:pPr>
        <w:ind w:left="780" w:right="80" w:hanging="259"/>
        <w:spacing w:after="0" w:line="245"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 with Merck, if we undergo a change in control.</w:t>
      </w:r>
    </w:p>
    <w:p>
      <w:pPr>
        <w:spacing w:after="0" w:line="90" w:lineRule="exact"/>
        <w:rPr>
          <w:rFonts w:ascii="Arial" w:cs="Arial" w:eastAsia="Arial" w:hAnsi="Arial"/>
          <w:sz w:val="18"/>
          <w:szCs w:val="18"/>
          <w:color w:val="auto"/>
        </w:rPr>
      </w:pPr>
    </w:p>
    <w:p>
      <w:pPr>
        <w:ind w:left="780" w:right="360" w:hanging="259"/>
        <w:spacing w:after="0" w:line="245"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90" w:lineRule="exact"/>
        <w:rPr>
          <w:rFonts w:ascii="Arial" w:cs="Arial" w:eastAsia="Arial" w:hAnsi="Arial"/>
          <w:sz w:val="18"/>
          <w:szCs w:val="18"/>
          <w:color w:val="auto"/>
        </w:rPr>
      </w:pPr>
    </w:p>
    <w:p>
      <w:pPr>
        <w:ind w:left="780" w:right="20" w:hanging="25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288" w:lineRule="exact"/>
        <w:rPr>
          <w:sz w:val="20"/>
          <w:szCs w:val="20"/>
          <w:color w:val="auto"/>
        </w:rPr>
      </w:pPr>
    </w:p>
    <w:p>
      <w:pPr>
        <w:jc w:val="both"/>
        <w:ind w:right="720"/>
        <w:spacing w:after="0" w:line="253" w:lineRule="auto"/>
        <w:rPr>
          <w:sz w:val="20"/>
          <w:szCs w:val="20"/>
          <w:color w:val="auto"/>
        </w:rPr>
      </w:pPr>
      <w:r>
        <w:rPr>
          <w:rFonts w:ascii="Arial" w:cs="Arial" w:eastAsia="Arial" w:hAnsi="Arial"/>
          <w:sz w:val="18"/>
          <w:szCs w:val="18"/>
          <w:b w:val="1"/>
          <w:bCs w:val="1"/>
          <w:i w:val="1"/>
          <w:iCs w:val="1"/>
          <w:color w:val="auto"/>
        </w:rPr>
        <w:t>Under certain circumstances, Merck may unilaterally terminate its annual funding of our research and development program, terminate or shift the focus of its research and development funding, any of which would materially and adversely affect our business.</w:t>
      </w:r>
    </w:p>
    <w:p>
      <w:pPr>
        <w:spacing w:after="0" w:line="82"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Under our Collaboration Agreement with Merck, Merck has the right to terminate all or part of the agreement at certain times and under certain circumstances. Merck may terminate the research and early development program effective March 17, 2022 by providing notice to us prior to March 17, 2021. Merck may terminate its annual funding of the research program prior to March 17, 2022 if we are acquired by a third party or if we are in material uncured breach of our obligations under the research and early development program. Prior to March 17, 2020, the departure of Dr. Chen as our employee or director of our research (other than on account of his employment by Merck) gives rise to the right of Merck to shift the focus of the research and development funding provided by Merck to concentrate on the development of later-stage product candidates, but Merck would not have the right to terminate or otherwise alter the conduct of the collaboration. After the current term of the collaboration or, if Merck again exercises its option to extend the term, after such extension period, Merck may terminate the overall agreement for convenience upon written notice and subject to certain limitations.</w:t>
      </w:r>
    </w:p>
    <w:p>
      <w:pPr>
        <w:spacing w:after="0" w:line="20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Subject to certain limitations, Merck may partially terminate the agreement for convenience as it relates to NGM313 or any future optioned program. Merck terminated its license to the GDF15 receptor agonist program effective May 31, 2019. Merck may also terminate the agreement as it relates to its rights to research and develop small molecule compounds. It may also terminate the agreement with respect to a specific optioned program, such as NGM313,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optioned program.</w:t>
      </w:r>
    </w:p>
    <w:p>
      <w:pPr>
        <w:spacing w:after="0" w:line="204" w:lineRule="exact"/>
        <w:rPr>
          <w:sz w:val="20"/>
          <w:szCs w:val="20"/>
          <w:color w:val="auto"/>
        </w:rPr>
      </w:pPr>
    </w:p>
    <w:p>
      <w:pPr>
        <w:ind w:right="400" w:firstLine="518"/>
        <w:spacing w:after="0"/>
        <w:rPr>
          <w:sz w:val="20"/>
          <w:szCs w:val="20"/>
          <w:color w:val="auto"/>
        </w:rPr>
      </w:pPr>
      <w:r>
        <w:rPr>
          <w:rFonts w:ascii="Arial" w:cs="Arial" w:eastAsia="Arial" w:hAnsi="Arial"/>
          <w:sz w:val="18"/>
          <w:szCs w:val="18"/>
          <w:color w:val="auto"/>
        </w:rPr>
        <w:t>If Merck terminates funding, terminates the Collaboration Agreement, decides not to further extend the research phase of the collaboration or shifts the focus of its research and development funding, it could impede our ability to fund and complete our research and development programs, which would materially and adversely affect our business.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2" w:right="259" w:bottom="1440" w:gutter="0" w:footer="0" w:header="0"/>
        </w:sectPr>
      </w:pPr>
    </w:p>
    <w:bookmarkStart w:id="63" w:name="page64"/>
    <w:bookmarkEnd w:id="63"/>
    <w:p>
      <w:pPr>
        <w:ind w:right="1020"/>
        <w:spacing w:after="0" w:line="271" w:lineRule="auto"/>
        <w:rPr>
          <w:sz w:val="20"/>
          <w:szCs w:val="20"/>
          <w:color w:val="auto"/>
        </w:rPr>
      </w:pPr>
      <w:r>
        <w:rPr>
          <w:rFonts w:ascii="Arial" w:cs="Arial" w:eastAsia="Arial" w:hAnsi="Arial"/>
          <w:sz w:val="18"/>
          <w:szCs w:val="18"/>
          <w:b w:val="1"/>
          <w:bCs w:val="1"/>
          <w:i w:val="1"/>
          <w:iCs w:val="1"/>
          <w:color w:val="auto"/>
        </w:rPr>
        <w:t>We may not be able to obtain and maintain the third party relationships that are necessary to develop, commercialize and manufacture some or all of our product candidates.</w:t>
      </w:r>
    </w:p>
    <w:p>
      <w:pPr>
        <w:spacing w:after="0" w:line="67"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clinical research organizations, manufacturers and other third parties to support our discovery efforts, to formulate product candidates, to conduct clinical trials for some or all of our product candidates, to manufacture clinical and commercial scale quantities of our drug substance and drug product and to market, sell and distribute any products we successfully develop. Any problems we experience with any of these third parties could delay the development, commercialization and manufacturing of our product candidates, which could harm our results of operations.</w:t>
      </w:r>
    </w:p>
    <w:p>
      <w:pPr>
        <w:spacing w:after="0" w:line="206"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or products ourselves, including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20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If any of our product candidates are approved by the FDA or other regulatory agencies for commercial sale, we or our collaborator may need to manufacture it in larger quantities. We intend to use third-party manufacturers for commercial quantities of aldafermin, NGM386, NGM395, NGM217, NGM120 and NGM621 to the extent we advance these product candidates and will rely on Merck to determine whether to utilize a third-party manufacturer or internal manufacturing capacity for NGM313 and other optioned product candidates. Our or our collaborator’s manufacturers may not be able to successfully increase the manufacturing capacity for any of our product candidates in a timely or efficient manner, or at all. If we or our collaborator are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cGMP and to pass inspections of the manufacturing facilities by the FDA or other regulatory agencies could seriously harm our business.</w:t>
      </w:r>
    </w:p>
    <w:p>
      <w:pPr>
        <w:spacing w:after="0" w:line="205"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We cannot guarantee that we or, as applicable, our collaborator will be able to successfully negotiate agreements for, or maintain relationships with, collaborators, partners, licensees, clinical investigators, manufacturers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w:t>
      </w:r>
    </w:p>
    <w:p>
      <w:pPr>
        <w:spacing w:after="0" w:line="204"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We and our collaborator expect to expend substantial management time and effort to enter into relationships with third parties and, if we or our collaborator successfully enter into such relationships, to manage these relationships. In addition, substantial capital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preclinical and clinical development and manufacturing of our programs and, therefore, enter into these relationships with less information than if these third parties were in the United States and may not choose the best parties for these relationships.</w:t>
      </w:r>
    </w:p>
    <w:p>
      <w:pPr>
        <w:spacing w:after="0" w:line="29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7"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aldafermin, NGM386 and NGM395, we may decide to collaborate with other pharmaceutical and biotechnology companies for their development and potential commercialization.</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6" w:right="279" w:bottom="1440" w:gutter="0" w:footer="0" w:header="0"/>
        </w:sectPr>
      </w:pPr>
    </w:p>
    <w:bookmarkStart w:id="64" w:name="page65"/>
    <w:bookmarkEnd w:id="64"/>
    <w:p>
      <w:pPr>
        <w:ind w:firstLine="518"/>
        <w:spacing w:after="0" w:line="23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w:t>
      </w:r>
    </w:p>
    <w:p>
      <w:pPr>
        <w:spacing w:after="0" w:line="205"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agreement, any medicine or product candidate that modulates a target then subject to the collaboration with specified activity. The FGF19 program, including aldafermin, is excluded from this provision, notwithstanding that both aldafermin and NGM313 signal, in part, through the FGFR1c pathway. During the tail period following the research term, we may not directly or indirectly research, develop or commercialize, outside of the collaboration, any medicine or product candidate with specified activity against any collaboration target that has been designated a tail target.</w:t>
      </w:r>
    </w:p>
    <w:p>
      <w:pPr>
        <w:spacing w:after="0" w:line="201" w:lineRule="exact"/>
        <w:rPr>
          <w:sz w:val="20"/>
          <w:szCs w:val="20"/>
          <w:color w:val="auto"/>
        </w:rPr>
      </w:pPr>
    </w:p>
    <w:p>
      <w:pPr>
        <w:ind w:right="580" w:firstLine="518"/>
        <w:spacing w:after="0" w:line="245"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98"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7"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67"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We currently rely on, and expect to continue to rely on, third parties, such as contract research organizations, clinical data management organizations, medical institutions, consultants and clinical investigators, to conduct our clinical trials and certain aspects of our research and preclinical testing.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206"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current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201" w:lineRule="exact"/>
        <w:rPr>
          <w:sz w:val="20"/>
          <w:szCs w:val="20"/>
          <w:color w:val="auto"/>
        </w:rPr>
      </w:pPr>
    </w:p>
    <w:p>
      <w:pPr>
        <w:ind w:right="380" w:firstLine="518"/>
        <w:spacing w:after="0" w:line="238"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0" w:right="259" w:bottom="1440" w:gutter="0" w:footer="0" w:header="0"/>
        </w:sectPr>
      </w:pPr>
    </w:p>
    <w:bookmarkStart w:id="65" w:name="page66"/>
    <w:bookmarkEnd w:id="65"/>
    <w:p>
      <w:pPr>
        <w:ind w:firstLine="518"/>
        <w:spacing w:after="0"/>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28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testing and expect to continue to do so for clinical trials and for commercialization. This reliance on third parties increases the risk that we will not have sufficient quantities of our product candidates or medicines or that such supply will not be available to us at an acceptable cost, which could delay, prevent or impair our development or commercialization efforts.</w:t>
      </w:r>
    </w:p>
    <w:p>
      <w:pPr>
        <w:spacing w:after="0" w:line="91" w:lineRule="exact"/>
        <w:rPr>
          <w:sz w:val="20"/>
          <w:szCs w:val="20"/>
          <w:color w:val="auto"/>
        </w:rPr>
      </w:pPr>
    </w:p>
    <w:p>
      <w:pPr>
        <w:ind w:right="300" w:firstLine="518"/>
        <w:spacing w:after="0" w:line="237"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testing and for commercial supply of any of these product candidates for which we or our collaborator obtains marketing approval. To date, we have obtained materials for aldafermin, NGM313, NGM386, NGM395, NGM217, NGM120 and NGM621 for our preclinical and clinical testing from third-party manufacturers. Other than for a long-term supply agreement with Lonza for aldafermin, we do not have a long-term supply agreement with any third-party manufacturer.</w:t>
      </w:r>
    </w:p>
    <w:p>
      <w:pPr>
        <w:spacing w:after="0" w:line="206" w:lineRule="exact"/>
        <w:rPr>
          <w:sz w:val="20"/>
          <w:szCs w:val="20"/>
          <w:color w:val="auto"/>
        </w:rPr>
      </w:pPr>
    </w:p>
    <w:p>
      <w:pPr>
        <w:ind w:right="260" w:firstLine="518"/>
        <w:spacing w:after="0" w:line="245"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90" w:lineRule="exact"/>
        <w:rPr>
          <w:sz w:val="20"/>
          <w:szCs w:val="20"/>
          <w:color w:val="auto"/>
        </w:rPr>
      </w:pPr>
    </w:p>
    <w:p>
      <w:pPr>
        <w:ind w:left="780" w:hanging="25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11"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w:t>
      </w:r>
    </w:p>
    <w:p>
      <w:pPr>
        <w:spacing w:after="0"/>
        <w:rPr>
          <w:sz w:val="20"/>
          <w:szCs w:val="20"/>
          <w:color w:val="auto"/>
        </w:rPr>
      </w:pPr>
      <w:r>
        <w:rPr>
          <w:rFonts w:ascii="Arial" w:cs="Arial" w:eastAsia="Arial" w:hAnsi="Arial"/>
          <w:sz w:val="18"/>
          <w:szCs w:val="18"/>
          <w:color w:val="auto"/>
        </w:rPr>
        <w:t>There are a limited number of manufacturers that operate under cGMP regulations and that might be capable of manufacturing for us.</w:t>
      </w:r>
    </w:p>
    <w:p>
      <w:pPr>
        <w:spacing w:after="0" w:line="211"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for bulk drug substances. If any one of our current contract manufacturers cannot perform as agreed, we may be required to replace that manufacturer. Although we believe that there are several potential alternative manufacturers who could manufacture our product candidates, we may incur added costs and delays in identifying and qualifying any such replacement.</w:t>
      </w:r>
    </w:p>
    <w:p>
      <w:pPr>
        <w:spacing w:after="0" w:line="206" w:lineRule="exact"/>
        <w:rPr>
          <w:sz w:val="20"/>
          <w:szCs w:val="20"/>
          <w:color w:val="auto"/>
        </w:rPr>
      </w:pPr>
    </w:p>
    <w:p>
      <w:pPr>
        <w:ind w:right="180" w:firstLine="518"/>
        <w:spacing w:after="0"/>
        <w:rPr>
          <w:sz w:val="20"/>
          <w:szCs w:val="20"/>
          <w:color w:val="auto"/>
        </w:rPr>
      </w:pPr>
      <w:r>
        <w:rPr>
          <w:rFonts w:ascii="Arial" w:cs="Arial" w:eastAsia="Arial" w:hAnsi="Arial"/>
          <w:sz w:val="18"/>
          <w:szCs w:val="18"/>
          <w:color w:val="auto"/>
        </w:rPr>
        <w:t>Our current and anticipated future dependence upon others for the manufacture of our product candidates or medicines may adversely affect our future profit margins and our ability to commercialize any medicines that receive marketing approval on a timely and competitive basis.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0"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0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None of our product candidates has received regulatory approvals. If we are unable to obtain regulatory approvals to market one or more of our product candidates, our business will be adversely affected.</w:t>
      </w:r>
    </w:p>
    <w:p>
      <w:pPr>
        <w:spacing w:after="0" w:line="6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We do not know whether regulatory agencies will grant approval for any of our product candidates.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 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289"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82"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development and may vary among jurisdictions. We have not obtained regulatory approval for any product candidate and it is possible that none of our existing product candidates or any future product candidates will ever obtain regulatory approval.</w:t>
      </w:r>
    </w:p>
    <w:p>
      <w:pPr>
        <w:spacing w:after="0" w:line="204" w:lineRule="exact"/>
        <w:rPr>
          <w:sz w:val="20"/>
          <w:szCs w:val="20"/>
          <w:color w:val="auto"/>
        </w:rPr>
      </w:pPr>
    </w:p>
    <w:p>
      <w:pPr>
        <w:ind w:right="380" w:firstLine="518"/>
        <w:spacing w:after="0" w:line="245"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90" w:lineRule="exact"/>
        <w:rPr>
          <w:sz w:val="20"/>
          <w:szCs w:val="20"/>
          <w:color w:val="auto"/>
        </w:rPr>
      </w:pPr>
    </w:p>
    <w:p>
      <w:pPr>
        <w:ind w:left="780" w:hanging="25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03" w:lineRule="exact"/>
        <w:rPr>
          <w:rFonts w:ascii="Arial" w:cs="Arial" w:eastAsia="Arial" w:hAnsi="Arial"/>
          <w:sz w:val="18"/>
          <w:szCs w:val="18"/>
          <w:color w:val="auto"/>
        </w:rPr>
      </w:pPr>
    </w:p>
    <w:p>
      <w:pPr>
        <w:ind w:left="780" w:right="480" w:hanging="259"/>
        <w:spacing w:after="0" w:line="245"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product candidates to support the submission and filing of a biologics license application, or BLA, or other submission or to obtain regulatory approval;</w:t>
      </w:r>
    </w:p>
    <w:p>
      <w:pPr>
        <w:spacing w:after="0" w:line="90" w:lineRule="exact"/>
        <w:rPr>
          <w:rFonts w:ascii="Arial" w:cs="Arial" w:eastAsia="Arial" w:hAnsi="Arial"/>
          <w:sz w:val="18"/>
          <w:szCs w:val="18"/>
          <w:color w:val="auto"/>
        </w:rPr>
      </w:pPr>
    </w:p>
    <w:p>
      <w:pPr>
        <w:ind w:left="780" w:right="180" w:hanging="259"/>
        <w:spacing w:after="0" w:line="245"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11"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for other reasons. If we were to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67" w:name="page68"/>
    <w:bookmarkEnd w:id="67"/>
    <w:p>
      <w:pPr>
        <w:ind w:firstLine="518"/>
        <w:spacing w:after="0" w:line="236" w:lineRule="auto"/>
        <w:rPr>
          <w:sz w:val="20"/>
          <w:szCs w:val="20"/>
          <w:color w:val="auto"/>
        </w:rPr>
      </w:pPr>
      <w:r>
        <w:rPr>
          <w:rFonts w:ascii="Arial" w:cs="Arial" w:eastAsia="Arial" w:hAnsi="Arial"/>
          <w:sz w:val="18"/>
          <w:szCs w:val="18"/>
          <w:color w:val="auto"/>
        </w:rPr>
        <w:t>We have received orphan drug status for aldafermin for PBC in the United States and for PBC and PSC in the European Union. The FDA grants orphan drug designation to drugs intended to treat a rare disease or condition, which is generally defined as a disease or condition that affects fewer than 200,000 individuals in the United States and fewer than five in 10,000 individuals in the European Union. Typically, if a drug with an orphan drug designation subsequently receives the first marketing approval for the indication for which it has such designation, the drug is entitled to a period of marketing exclusivity, which precludes the FDA or the European Medicines Agency, or EMA, from approving another marketing application for the same drug for that time period. The applicable period is seven years in the United States and 10 years in the European Union. The European Union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204"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Although we have obtained orphan drug status for aldafermin for PBC and PSC, that exclusivity may not effectively protect the candidate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Any inability to secure orphan drug designation or the exclusivity benefits of this designation could have an adverse impact on our ability to develop and commercialize our product candidates. Orphan drug designation does not convey any advantage in, or shorten the duration of, the regulatory review and approval process. Obtaining orphan drug designation may not provide us with a material commercial advantage.</w:t>
      </w:r>
    </w:p>
    <w:p>
      <w:pPr>
        <w:spacing w:after="0" w:line="20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Unique to a Fast Track product,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pacing w:after="0" w:line="206" w:lineRule="exact"/>
        <w:rPr>
          <w:sz w:val="20"/>
          <w:szCs w:val="20"/>
          <w:color w:val="auto"/>
        </w:rPr>
      </w:pPr>
    </w:p>
    <w:p>
      <w:pPr>
        <w:jc w:val="both"/>
        <w:ind w:right="180" w:firstLine="518"/>
        <w:spacing w:after="0" w:line="234" w:lineRule="auto"/>
        <w:rPr>
          <w:sz w:val="20"/>
          <w:szCs w:val="20"/>
          <w:color w:val="auto"/>
        </w:rPr>
      </w:pPr>
      <w:r>
        <w:rPr>
          <w:rFonts w:ascii="Arial" w:cs="Arial" w:eastAsia="Arial" w:hAnsi="Arial"/>
          <w:sz w:val="18"/>
          <w:szCs w:val="18"/>
          <w:color w:val="auto"/>
        </w:rPr>
        <w:t>Although aldafermin has received Fast Track designation from the FDA for PBC and NASH, we may not necessarily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w:t>
      </w:r>
    </w:p>
    <w:p>
      <w:pPr>
        <w:spacing w:after="0" w:line="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Additionally, qualification for any expedited review procedure does not ensure that we will ultimately obtain regulatory approval for aldafermin or any other product candidate that we are developing or may develop.</w:t>
      </w:r>
    </w:p>
    <w:p>
      <w:pPr>
        <w:spacing w:after="0" w:line="28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7"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If we or our collaborators succeed in developing any products, we intend to market them in the European Union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68" w:name="page69"/>
    <w:bookmarkEnd w:id="68"/>
    <w:p>
      <w:pPr>
        <w:ind w:right="40"/>
        <w:spacing w:after="0" w:line="238" w:lineRule="auto"/>
        <w:rPr>
          <w:sz w:val="20"/>
          <w:szCs w:val="20"/>
          <w:color w:val="auto"/>
        </w:rPr>
      </w:pPr>
      <w:r>
        <w:rPr>
          <w:rFonts w:ascii="Arial" w:cs="Arial" w:eastAsia="Arial" w:hAnsi="Arial"/>
          <w:sz w:val="18"/>
          <w:szCs w:val="18"/>
          <w:color w:val="auto"/>
        </w:rPr>
        <w:t>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2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206"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94" w:lineRule="exact"/>
        <w:rPr>
          <w:sz w:val="20"/>
          <w:szCs w:val="20"/>
          <w:color w:val="auto"/>
        </w:rPr>
      </w:pPr>
    </w:p>
    <w:p>
      <w:pPr>
        <w:ind w:left="780" w:right="660" w:hanging="259"/>
        <w:spacing w:after="0" w:line="245"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103" w:lineRule="exact"/>
        <w:rPr>
          <w:rFonts w:ascii="Arial" w:cs="Arial" w:eastAsia="Arial" w:hAnsi="Arial"/>
          <w:sz w:val="18"/>
          <w:szCs w:val="18"/>
          <w:color w:val="auto"/>
        </w:rPr>
      </w:pPr>
    </w:p>
    <w:p>
      <w:pPr>
        <w:ind w:left="780" w:right="20" w:hanging="259"/>
        <w:spacing w:after="0" w:line="245"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recall such product;</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11"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2" w:right="259" w:bottom="1440" w:gutter="0" w:footer="0" w:header="0"/>
        </w:sectPr>
      </w:pPr>
    </w:p>
    <w:bookmarkStart w:id="69" w:name="page70"/>
    <w:bookmarkEnd w:id="69"/>
    <w:p>
      <w:pPr>
        <w:ind w:right="60" w:firstLine="518"/>
        <w:spacing w:after="0" w:line="236"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202"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90" w:lineRule="exact"/>
        <w:rPr>
          <w:sz w:val="20"/>
          <w:szCs w:val="20"/>
          <w:color w:val="auto"/>
        </w:rPr>
      </w:pPr>
    </w:p>
    <w:p>
      <w:pPr>
        <w:ind w:right="700"/>
        <w:spacing w:after="0" w:line="253"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8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Even if we receive regulatory approval for aldafermin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aldafermin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w:t>
      </w:r>
    </w:p>
    <w:p>
      <w:pPr>
        <w:spacing w:after="0" w:line="12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success will depend in significant part on our and our current or future licensors’, licensees’ or collaborators’ ability to establish and maintain adequate protection of our intellectual property covering the product candidates we plan to develop, and the ability to develop these product candidates and commercialize the products resulting therefrom, without infringing the intellectual property rights of others. In addition to taking other steps to protect our intellectual property, we have applied for, and intend to continue to apply for, patents with claims covering our technologies, processes and product candidates when and where we deem it appropriate to do so. We have filed numerous patent applications both in the United States and in certain foreign jurisdictions to obtain patent rights to inventions we have discovered, with claims directed to compositions of 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candidates or products that are substantially similar to our product candidates. In countries where we have not and do not seek patent protection, third parties may be able to manufacture and sell our product candidates without our permission, and we may not be able to stop them from doing so.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0" w:name="page71"/>
    <w:bookmarkEnd w:id="70"/>
    <w:p>
      <w:pPr>
        <w:ind w:right="80" w:firstLine="518"/>
        <w:spacing w:after="0" w:line="236" w:lineRule="auto"/>
        <w:rPr>
          <w:sz w:val="20"/>
          <w:szCs w:val="20"/>
          <w:color w:val="auto"/>
        </w:rPr>
      </w:pPr>
      <w:r>
        <w:rPr>
          <w:rFonts w:ascii="Arial" w:cs="Arial" w:eastAsia="Arial" w:hAnsi="Arial"/>
          <w:sz w:val="18"/>
          <w:szCs w:val="18"/>
          <w:color w:val="auto"/>
        </w:rPr>
        <w:t>With respect to patent rights, we do not know whether any of the pending patent applications for any of our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w:t>
      </w:r>
    </w:p>
    <w:p>
      <w:pPr>
        <w:spacing w:after="0" w:line="206"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Any changes we make to our product candidates, including aldafermin, NGM313, NGM120, NGM621, NGM386 and NGM395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aldafermin molecule, including the half-life extended variant of FGF19 that we are developing, NGM313, NGM120, NGM621, NGM386 and NGM395 or any of our other product candidates.</w:t>
      </w:r>
    </w:p>
    <w:p>
      <w:pPr>
        <w:spacing w:after="0" w:line="204"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We do not currently own or have a license to any issued patents that cover our NGM217 or NGM621 product candidates, although they are disclosed and claimed in our pending U.S. provisional, U.S. non-provisional and/or Patent Cooperation Treaty (“PCT”) applications. The patent landscape surrounding NGM217 and NGM621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w:t>
      </w:r>
    </w:p>
    <w:p>
      <w:pPr>
        <w:spacing w:after="0" w:line="206"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and our current or future licensors’, licensees’ or collaborators’ patent rights are highly uncertain. Our and our current or future licensors’, licensees’ or collaborators’ pending and future patent 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1" w:name="page72"/>
    <w:bookmarkEnd w:id="71"/>
    <w:p>
      <w:pPr>
        <w:ind w:right="40" w:firstLine="518"/>
        <w:spacing w:after="0" w:line="235"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and we may need to rely solely on regulatory or similar protections, if they are available. We expect to seek extensions of patent terms for our issued patents, where available. In the United States, this includes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a patent are not enforceable for their full scope, but are instead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5"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204"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In addition, our existing patents and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circumvented or narrowed, or fail to provide us with any competitive advantages.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201"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would be prohibitively expensive, and our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we and our collaborator may not be able to prevent third parties from practicing our and our collaborator’s inventions in all countries outside the United States, or from selling or importing products made using our and our collaborator’s inventions in and into the United States or other jurisdictions. Competitors may use our and our collaborator’s technologies in jurisdictions where we have not obtained patent protection to develop their own products and, further, may export otherwise infringing products to territories where we and our collaborator have patent protection, but enforcement is not as strong as that in the United States. These products may compete with our product candidates and our and our collaborator’s patents or other intellectual property rights may not be effective or sufficient to prevent them from competing.</w:t>
      </w:r>
    </w:p>
    <w:p>
      <w:pPr>
        <w:spacing w:after="0" w:line="204"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and our collaborator to stop the infringement of our and our collaborator’s patents or the marketing of competing products in violation of our and our collaborator’s proprietary rights, generally. Proceedings to enforce our and our collaborator’s patent rights in foreign jurisdictions could result in substantial costs and divert our and our collaborator’s efforts and attention from other aspects of our business, could put our and our collaborator’s patents at risk of being invalidated or interpreted narrowly, could place our and our collaborator’s patent applications at risk of not issuing and could provoke third parties to assert claims against us or our collaborator. We or our collaborator may not prevail in any lawsuits that we or our collaborator initiate and the damages or other remedies awarded, if any, may not be commercially meaningful.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72" w:name="page73"/>
    <w:bookmarkEnd w:id="72"/>
    <w:p>
      <w:pPr>
        <w:ind w:right="160" w:firstLine="518"/>
        <w:spacing w:after="0" w:line="236"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we and our collaborator may have limited remedies if patents are infringed or if we or our collaborator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and our collaborator’s efforts to enforce intellectual property rights around the world may be inadequate to obtain a significant commercial advantage from the intellectual property that we own or license.</w:t>
      </w:r>
    </w:p>
    <w:p>
      <w:pPr>
        <w:spacing w:after="0" w:line="291" w:lineRule="exact"/>
        <w:rPr>
          <w:sz w:val="20"/>
          <w:szCs w:val="20"/>
          <w:color w:val="auto"/>
        </w:rPr>
      </w:pPr>
    </w:p>
    <w:p>
      <w:pPr>
        <w:ind w:right="74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Periodic maintenance and annuity fees on issued United States patents and most foreign patent applications and patents must be paid to the U.S. Patent and Trademark Office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collaborator fail to maintain the patents and patent applications covering our product candidates, our competitors might be able to enter the market with similar or identical products or technology, which would have a material adverse effect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25"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and the United States Court of Appeals for the Federal Circuit have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our and our collaborator’s ability to obtain new patents or to enforce existing patents and patents we and our collaborator may obtain in the future.</w:t>
      </w:r>
    </w:p>
    <w:p>
      <w:pPr>
        <w:spacing w:after="0" w:line="204" w:lineRule="exact"/>
        <w:rPr>
          <w:sz w:val="20"/>
          <w:szCs w:val="20"/>
          <w:color w:val="auto"/>
        </w:rPr>
      </w:pPr>
    </w:p>
    <w:p>
      <w:pPr>
        <w:ind w:right="160" w:firstLine="518"/>
        <w:spacing w:after="0" w:line="235" w:lineRule="auto"/>
        <w:rPr>
          <w:sz w:val="20"/>
          <w:szCs w:val="20"/>
          <w:color w:val="auto"/>
        </w:rPr>
      </w:pPr>
      <w:r>
        <w:rPr>
          <w:rFonts w:ascii="Arial" w:cs="Arial" w:eastAsia="Arial" w:hAnsi="Arial"/>
          <w:sz w:val="18"/>
          <w:szCs w:val="18"/>
          <w:color w:val="auto"/>
        </w:rPr>
        <w:t xml:space="preserve">Patent reform laws, such as the Leahy-Smith America Invents Act, or the Leahy-Smith Act, as well as changes in how patent laws are interpreted, could increase the uncertainties and costs surrounding the prosecution of our and our collaborator’s patent applications and the enforcement or defense of our or our collaborator’s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have on the operation of our business. However, the Leahy-Smith Act and its implementation could increase the uncertainties and costs surrounding the prosecution of our or our collaborator’s patent applications and the enforcement or defense of our or our collaborator’s issued patents, all of which could have a material adverse effect on our business, financial condition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73" w:name="page74"/>
    <w:bookmarkEnd w:id="73"/>
    <w:p>
      <w:pPr>
        <w:ind w:right="720"/>
        <w:spacing w:after="0" w:line="271"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67"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Several third parties are actively researching and seeking and obtaining patent protection in the cardio-metabolic disease, NASH, oncology and ophthalmic fields, and there are issued third-party patents and published third-party patent applications in these fields. The patent landscape around our aldafermin, NGM313, NGM217, NGM120, NGM621, NGM386 and NGM395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aldafermin, NGM313, NGM217, NGM120, NGM621, NGM386 and NGM395 product candidates. However, we may not be aware of all third-party intellectual property rights potentially relating to our product candidates and technologies.</w:t>
      </w:r>
    </w:p>
    <w:p>
      <w:pPr>
        <w:spacing w:after="0" w:line="201"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depending on the ultimate formulation and method of use of our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 Moreover, even if we obtain licenses to such intellectual property, but subsequently fail to meet our obligations under our license agreements, or such license agreements are terminated for any other reason, we may lose our rights to in-licensed technologies.</w:t>
      </w:r>
    </w:p>
    <w:p>
      <w:pPr>
        <w:spacing w:after="0" w:line="20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92" w:lineRule="exact"/>
        <w:rPr>
          <w:sz w:val="20"/>
          <w:szCs w:val="20"/>
          <w:color w:val="auto"/>
        </w:rPr>
      </w:pPr>
    </w:p>
    <w:p>
      <w:pPr>
        <w:ind w:right="1080"/>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7"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Third parties may infringe our or our collaborator’s patents or misappropriate or otherwise violate our or our collaborator’s intellectual property rights. In the future, we or our collaborator may initiate legal proceedings to enforce or defend our or our collaborator’s intellectual property rights, to protect our or our collaborator’s trade secrets or to determine the validity or scope of intellectual property rights we own or control. Also, third parties may initiate legal proceedings against us or our collaborator to challenge the validity or scope of intellectual property rights we own, control or to which we have rights. For example, generic or biosimilar drug manufacturers or other competitors or third parties may challenge the scope, validity or enforceability of our or our collaborator’s patents, requiring us or our collaborator to engage in complex, lengthy and costly litigation or other proceedings. These proceedings can be expensive and time-consuming and many of our or our collaborator’s adversaries in these proceedings may have the ability to dedicate substantially greater resources to prosecuting these legal actions than we or our collaborator can. Accordingly, despite our or our collaborator’s efforts, we or our collaborator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or our collaborator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our or our collaborator’s patents do not cover the technology in question. An adverse result in any litigation proceeding could put one or more of our or our collaborator’s patents at risk</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74" w:name="page75"/>
    <w:bookmarkEnd w:id="74"/>
    <w:p>
      <w:pPr>
        <w:ind w:right="500"/>
        <w:spacing w:after="0" w:line="245" w:lineRule="auto"/>
        <w:rPr>
          <w:sz w:val="20"/>
          <w:szCs w:val="20"/>
          <w:color w:val="auto"/>
        </w:rPr>
      </w:pPr>
      <w:r>
        <w:rPr>
          <w:rFonts w:ascii="Arial" w:cs="Arial" w:eastAsia="Arial" w:hAnsi="Arial"/>
          <w:sz w:val="18"/>
          <w:szCs w:val="18"/>
          <w:color w:val="auto"/>
        </w:rPr>
        <w:t>of being invalidated, narrowed, held unenforceable or interpreted in such a manner that would not preclude third parties from entering the market with competing products.</w:t>
      </w:r>
    </w:p>
    <w:p>
      <w:pPr>
        <w:spacing w:after="0" w:line="180" w:lineRule="exact"/>
        <w:rPr>
          <w:sz w:val="20"/>
          <w:szCs w:val="20"/>
          <w:color w:val="auto"/>
        </w:rPr>
      </w:pPr>
    </w:p>
    <w:p>
      <w:pPr>
        <w:ind w:firstLine="518"/>
        <w:spacing w:after="0" w:line="252" w:lineRule="auto"/>
        <w:rPr>
          <w:sz w:val="20"/>
          <w:szCs w:val="20"/>
          <w:color w:val="auto"/>
        </w:rPr>
      </w:pPr>
      <w:r>
        <w:rPr>
          <w:rFonts w:ascii="Arial" w:cs="Arial" w:eastAsia="Arial" w:hAnsi="Arial"/>
          <w:sz w:val="17"/>
          <w:szCs w:val="17"/>
          <w:color w:val="auto"/>
        </w:rPr>
        <w:t xml:space="preserve">Third-party pre-issuance submission of prior art to the USPTO, or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or other pre-issuance or post-grant proceedings or other patent office proceedings or litigation in the United States or other jurisdictions provoked by third parties or brought by us or our collaborator, may be necessary to determine the inventorship, priority, patentability or validity of inventions with respect to our or our collaborator’s patents or patent applications. An unfavorable outcome could leave our technology or product candidates without patent protection, allow third parties to commercialize our technology or product candidates and compete directly with us, without payment to us, or could require us or our collaborator to obtain license rights from the prevailing party in order to be able to manufacture or commercialize our product candidates without infringing third-party patent rights. Our business could be harmed if the prevailing party does not offer us or our collaborator a license on commercially reasonable terms, or at all. Even if we or our collaborator obtain a license, it may be non-exclusive, thereby giving our competitors access to the same technologies licensed to us or our collaborator. In addition, if the breadth or strength of protection provided by our or our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w:t>
      </w:r>
    </w:p>
    <w:p>
      <w:pPr>
        <w:spacing w:after="0" w:line="19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foreign jurisdictions have rules of discovery that are different than those in the United States and that may make defending or enforcing our or our collaborator’s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28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w:t>
      </w:r>
    </w:p>
    <w:p>
      <w:pPr>
        <w:spacing w:after="0" w:line="82"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 xml:space="preserve">Our commercial success depends upon our ability and the ability of our collaborator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or our collaborator alleging that we or our collaborator infringe their intellectual property rights or we or our collaborator may initiate legal proceedings against third parties to challenge the validity or scope of intellectual property rights controlled by third parties, including in oppositions, interferences, revocations,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its counterparts in other jurisdictions. These proceedings can be expensive and time-consuming and many of our or our collaborator’s adversaries in these proceedings may have the ability to dedicate substantially greater resources to prosecuting these legal actions than we or our collaborator can.</w:t>
      </w:r>
    </w:p>
    <w:p>
      <w:pPr>
        <w:spacing w:after="0" w:line="205" w:lineRule="exact"/>
        <w:rPr>
          <w:sz w:val="20"/>
          <w:szCs w:val="20"/>
          <w:color w:val="auto"/>
        </w:rPr>
      </w:pPr>
    </w:p>
    <w:p>
      <w:pPr>
        <w:ind w:right="60" w:firstLine="518"/>
        <w:spacing w:after="0" w:line="235" w:lineRule="auto"/>
        <w:rPr>
          <w:sz w:val="20"/>
          <w:szCs w:val="20"/>
          <w:color w:val="auto"/>
        </w:rPr>
      </w:pPr>
      <w:r>
        <w:rPr>
          <w:rFonts w:ascii="Arial" w:cs="Arial" w:eastAsia="Arial" w:hAnsi="Arial"/>
          <w:sz w:val="18"/>
          <w:szCs w:val="18"/>
          <w:color w:val="auto"/>
        </w:rPr>
        <w:t>For example, through our European representative, we filed an opposition in the European Patent Office (“EPO”), to a patent granted to St. Vincent’s Hospital Sydney Limited, or St. Vincent’s, claiming the use of MIC-1, also known as GDF15, in the treatment of obesity. In the first instance proceedings, the Opposition Division at the EPO upheld the patent as granted. We have appealed this decision to the Board of Appeals at the EPO, and the patentee filed its reply to our grounds for appeal in November 2018. Although there are uncertainties regarding EPO appeal timelines, summons to oral proceedings will likely issue towards the end of 2019, and oral proceedings are likely to be scheduled six to twelve months thereafter. The St. Vincent’s patent as granted is currently scheduled to expire in April 2025. Even should the patent be upheld on appeal, we do not believe that NGM386 and/or NGM395 would be commercially launched until after expiration of the patent. In addition, we have filed an opposition in the EPO to a patent granted to Amgen Inc., or Amgen, claiming the use of GDF15 polypeptides for the treatment of several metabolic disorders. At the first instance proceedings, the Opposition Division at the EPO maintained the patent in amended form, with claims not including obesity, an indication for which we are presently pursuing regulatory approval for NGM386 and NGM395. We plan to appeal the decision to maintain the patent to the Board of Appeals at the EPO. The Amgen patent as granted is currently scheduled to expire in April 2032. If these patents have not expired, or are not ultimately deemed invalid in appeals stemming from the opposition proceedings, and/or our non-infringement positions are not upheld, and these patents are successfully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2" w:right="259" w:bottom="1440" w:gutter="0" w:footer="0" w:header="0"/>
        </w:sectPr>
      </w:pPr>
    </w:p>
    <w:bookmarkStart w:id="75" w:name="page76"/>
    <w:bookmarkEnd w:id="75"/>
    <w:p>
      <w:pPr>
        <w:ind w:right="120"/>
        <w:spacing w:after="0"/>
        <w:rPr>
          <w:sz w:val="20"/>
          <w:szCs w:val="20"/>
          <w:color w:val="auto"/>
        </w:rPr>
      </w:pPr>
      <w:r>
        <w:rPr>
          <w:rFonts w:ascii="Arial" w:cs="Arial" w:eastAsia="Arial" w:hAnsi="Arial"/>
          <w:sz w:val="18"/>
          <w:szCs w:val="18"/>
          <w:color w:val="auto"/>
        </w:rPr>
        <w:t>asserted against us in a European country court proceeding after the approval of either of our NGM386 or NGM395 product candidates for the treatment of obesity in Europe, then we may be required to obtain licenses to such patents in order to commercialize our GDF15 program product candidates, and there can be no assurance that such licenses would be available on commercially reasonable terms, or at all.</w:t>
      </w:r>
    </w:p>
    <w:p>
      <w:pPr>
        <w:spacing w:after="0" w:line="20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Additionally, in November 2018, we filed an opposition in the EPO to a patent granted to Genentech, Inc., or Genentech, claiming the use of an anti-KLB agonist antibody for treating diabetes mellitus or insulin resistance. We are one of two opponents challenging the Genentech patent as granted on numerous grounds, including lack of novelty and inventive step, insufficiency and claiming subject matter that extends beyond the application as originally filed. Genentech filed its response to opposition in April 2019. The EPO’s summons to oral proceedings is expected in the third quarter of 2019. The Genentech patent is currently scheduled to expire in April 2028. If the Genentech patent is not invalidated in the opposition proceedings and appeals, has not expired and/or our non-infringement positions are not upheld, and this patent is successfully asserted against us or our collaborator in a European country court proceeding after the approval of our NGM313 product candidate for the treatment of diabetes and/or NASH in Europe, then we and/or our collaborator may be required to obtain a license to this patent in order to commercialize our NGM313 product candidate, and there can be no assurance that such license would be available on commercially reasonable terms, or at all. An unfavorable outcome in any such proceeding could require us or our collaborator to cease using the related technology or developing or commercializing our product candidates, or to attempt to license rights to it from the prevailing party, which may not be available on commercially reasonable terms, or at all.</w:t>
      </w:r>
    </w:p>
    <w:p>
      <w:pPr>
        <w:spacing w:after="0" w:line="202"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2"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We perform searches of patent and scientific databases in order to identify documents that may be of potential relevance to the freedom-to-operate and/or patentability of our product candidates. In general, such searches are conducted based on keywords, sequences, inventors/authors and assignees/entities to capture U.S. and European patents and patent applications, PCT publications and scientific journal articles. There can be no assurance that such searches will identify all potentially relevant patents or patent applications, and the failure to identify any such patents or patent applications could have a material adverse effect on the commercialization of our product candidates.</w:t>
      </w:r>
    </w:p>
    <w:p>
      <w:pPr>
        <w:spacing w:after="0" w:line="206"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We are not aware of any facts that would lead us to conclude that the valid and enforceable claims of any third-party patents would reasonably be interpreted to encompass our product candidates, unless we are unsuccessful in our opposition of any of the granted European patents that are discussed above, or any appeals stemming therefrom.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and the ability of our collaborator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our collaborator or other commercialization partners and we were unable to successfully challenge the validity or enforceability of any such asserted patents, then we or our collaborator and other commercialization partners may be prevented from commercializing our product candidates,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Any of the foregoing would have a material adverse effect on our business, financial condition and operating results.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76" w:name="page77"/>
    <w:bookmarkEnd w:id="76"/>
    <w:p>
      <w:pPr>
        <w:ind w:right="400"/>
        <w:spacing w:after="0" w:line="27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a third party’s intellectual property, or claiming ownership of what we regard as our own intellectual property.</w:t>
      </w:r>
    </w:p>
    <w:p>
      <w:pPr>
        <w:spacing w:after="0" w:line="67"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03"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If we breach any license agreement related to our product candidates, we could lose the ability to continue the development and commercialization of our product candidates.</w:t>
      </w:r>
    </w:p>
    <w:p>
      <w:pPr>
        <w:spacing w:after="0" w:line="6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commercial success depends upon our ability, and the ability of our licensors and collaborator, to develop, manufacture, market and sell our product candidates and use our and our collaborator’s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licenses that are important to our business and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a license agreement with Lonza Sales under which we license cell lines used to produce our product candidates that are currently subject to our collaboration with Merck. We require Lonza Sales’ prior consent to grant sub-licenses under this agreement and therefore Lonza Sales may be able to prevent us from granting sub-licenses to third parties, which could affect our ability or Merck’s ability to use certain desired manufacturers in order to manufacture our product candidates.</w:t>
      </w:r>
    </w:p>
    <w:p>
      <w:pPr>
        <w:spacing w:after="0" w:line="202"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Any of the foregoing could materially adversely affect the value of the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25"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In addition to seeking patents for some of our technology and products, we also rely substantially on trade secrets in our activities,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7" w:name="page78"/>
    <w:bookmarkEnd w:id="77"/>
    <w:p>
      <w:pPr>
        <w:spacing w:after="0" w:line="237" w:lineRule="auto"/>
        <w:rPr>
          <w:sz w:val="20"/>
          <w:szCs w:val="20"/>
          <w:color w:val="auto"/>
        </w:rPr>
      </w:pPr>
      <w:r>
        <w:rPr>
          <w:rFonts w:ascii="Arial" w:cs="Arial" w:eastAsia="Arial" w:hAnsi="Arial"/>
          <w:sz w:val="18"/>
          <w:szCs w:val="18"/>
          <w:color w:val="auto"/>
        </w:rPr>
        <w:t>and disclose our proprietary information and there may be no adequate remedy available for such breach of an agreement. We cannot assure you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25" w:lineRule="exact"/>
        <w:rPr>
          <w:sz w:val="20"/>
          <w:szCs w:val="20"/>
          <w:color w:val="auto"/>
        </w:rPr>
      </w:pPr>
    </w:p>
    <w:p>
      <w:pPr>
        <w:ind w:right="840" w:firstLine="518"/>
        <w:spacing w:after="0" w:line="245"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90" w:lineRule="exact"/>
        <w:rPr>
          <w:sz w:val="20"/>
          <w:szCs w:val="20"/>
          <w:color w:val="auto"/>
        </w:rPr>
      </w:pPr>
    </w:p>
    <w:p>
      <w:pPr>
        <w:ind w:left="780" w:right="120" w:hanging="259"/>
        <w:spacing w:after="0" w:line="245"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that are not covered by the claims of the patents that we license or may own in the future;</w:t>
      </w:r>
    </w:p>
    <w:p>
      <w:pPr>
        <w:spacing w:after="0" w:line="90" w:lineRule="exact"/>
        <w:rPr>
          <w:rFonts w:ascii="Arial" w:cs="Arial" w:eastAsia="Arial" w:hAnsi="Arial"/>
          <w:sz w:val="18"/>
          <w:szCs w:val="18"/>
          <w:color w:val="auto"/>
        </w:rPr>
      </w:pPr>
    </w:p>
    <w:p>
      <w:pPr>
        <w:ind w:left="780" w:right="420" w:hanging="259"/>
        <w:spacing w:after="0" w:line="245"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make the inventions covered by the issued patents and pending patent applications that we license or may own in the future;</w:t>
      </w:r>
    </w:p>
    <w:p>
      <w:pPr>
        <w:spacing w:after="0" w:line="90" w:lineRule="exact"/>
        <w:rPr>
          <w:rFonts w:ascii="Arial" w:cs="Arial" w:eastAsia="Arial" w:hAnsi="Arial"/>
          <w:sz w:val="18"/>
          <w:szCs w:val="18"/>
          <w:color w:val="auto"/>
        </w:rPr>
      </w:pPr>
    </w:p>
    <w:p>
      <w:pPr>
        <w:ind w:left="780" w:right="600" w:hanging="259"/>
        <w:spacing w:after="0" w:line="245"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file patent applications covering certain of our or their inventions;</w:t>
      </w:r>
    </w:p>
    <w:p>
      <w:pPr>
        <w:spacing w:after="0" w:line="90" w:lineRule="exact"/>
        <w:rPr>
          <w:rFonts w:ascii="Arial" w:cs="Arial" w:eastAsia="Arial" w:hAnsi="Arial"/>
          <w:sz w:val="18"/>
          <w:szCs w:val="18"/>
          <w:color w:val="auto"/>
        </w:rPr>
      </w:pPr>
    </w:p>
    <w:p>
      <w:pPr>
        <w:ind w:left="780" w:hanging="259"/>
        <w:spacing w:after="0" w:line="245"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03" w:lineRule="exact"/>
        <w:rPr>
          <w:rFonts w:ascii="Arial" w:cs="Arial" w:eastAsia="Arial" w:hAnsi="Arial"/>
          <w:sz w:val="18"/>
          <w:szCs w:val="18"/>
          <w:color w:val="auto"/>
        </w:rPr>
      </w:pPr>
    </w:p>
    <w:p>
      <w:pPr>
        <w:ind w:left="780" w:right="840" w:hanging="259"/>
        <w:spacing w:after="0" w:line="245"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patents to which we hold rights may be held invalid or unenforceable, including as a result of legal challenges by our competitors;</w:t>
      </w:r>
    </w:p>
    <w:p>
      <w:pPr>
        <w:spacing w:after="0" w:line="90" w:lineRule="exact"/>
        <w:rPr>
          <w:rFonts w:ascii="Arial" w:cs="Arial" w:eastAsia="Arial" w:hAnsi="Arial"/>
          <w:sz w:val="18"/>
          <w:szCs w:val="18"/>
          <w:color w:val="auto"/>
        </w:rPr>
      </w:pPr>
    </w:p>
    <w:p>
      <w:pPr>
        <w:ind w:left="780" w:right="100" w:hanging="259"/>
        <w:spacing w:after="0" w:line="245"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03" w:lineRule="exact"/>
        <w:rPr>
          <w:rFonts w:ascii="Arial" w:cs="Arial" w:eastAsia="Arial" w:hAnsi="Arial"/>
          <w:sz w:val="18"/>
          <w:szCs w:val="18"/>
          <w:color w:val="auto"/>
        </w:rPr>
      </w:pPr>
    </w:p>
    <w:p>
      <w:pPr>
        <w:ind w:left="780" w:right="880" w:hanging="259"/>
        <w:spacing w:after="0" w:line="245"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198" w:lineRule="exact"/>
        <w:rPr>
          <w:sz w:val="20"/>
          <w:szCs w:val="20"/>
          <w:color w:val="auto"/>
        </w:rPr>
      </w:pPr>
    </w:p>
    <w:p>
      <w:pPr>
        <w:ind w:right="300" w:firstLine="518"/>
        <w:spacing w:after="0" w:line="245"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has been and may continue to be volatile, and you could lose all or part of your investment.</w:t>
      </w:r>
    </w:p>
    <w:p>
      <w:pPr>
        <w:spacing w:after="0" w:line="125" w:lineRule="exact"/>
        <w:rPr>
          <w:sz w:val="20"/>
          <w:szCs w:val="20"/>
          <w:color w:val="auto"/>
        </w:rPr>
      </w:pPr>
    </w:p>
    <w:p>
      <w:pPr>
        <w:ind w:right="260" w:firstLine="518"/>
        <w:spacing w:after="0" w:line="245" w:lineRule="auto"/>
        <w:rPr>
          <w:sz w:val="20"/>
          <w:szCs w:val="20"/>
          <w:color w:val="auto"/>
        </w:rPr>
      </w:pPr>
      <w:r>
        <w:rPr>
          <w:rFonts w:ascii="Arial" w:cs="Arial" w:eastAsia="Arial" w:hAnsi="Arial"/>
          <w:sz w:val="18"/>
          <w:szCs w:val="18"/>
          <w:color w:val="auto"/>
        </w:rPr>
        <w:t>The trading price of our common stock has been and may continue to be highly volatile and subject to wide fluctuations in response to various factors, some of which we cannot control. In addition to the factors discussed in this “Risk Factors” section, these factors include:</w:t>
      </w:r>
    </w:p>
    <w:p>
      <w:pPr>
        <w:spacing w:after="0" w:line="90" w:lineRule="exact"/>
        <w:rPr>
          <w:sz w:val="20"/>
          <w:szCs w:val="20"/>
          <w:color w:val="auto"/>
        </w:rPr>
      </w:pPr>
    </w:p>
    <w:p>
      <w:pPr>
        <w:ind w:left="780" w:hanging="259"/>
        <w:spacing w:after="0" w:line="245"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any non-renewal, termination or other change in our relationship with Merck;</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78" w:name="page79"/>
    <w:bookmarkEnd w:id="78"/>
    <w:p>
      <w:pPr>
        <w:ind w:left="780" w:right="900" w:hanging="259"/>
        <w:spacing w:after="0" w:line="245"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1"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291"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67"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 stockholder lawsuit could also divert the time and attention of our management. Securities litigation against us could result in substantial costs and divert our management’s attention from other business concerns, which could seriously harm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25"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Our common stock is currently listed on the Nasdaq Global Select Market, or Nasdaq, under the symbol "NGM" and trades on that market. 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290" w:lineRule="exact"/>
        <w:rPr>
          <w:sz w:val="20"/>
          <w:szCs w:val="20"/>
          <w:color w:val="auto"/>
        </w:rPr>
      </w:pPr>
    </w:p>
    <w:p>
      <w:pPr>
        <w:ind w:right="960"/>
        <w:spacing w:after="0" w:line="301" w:lineRule="auto"/>
        <w:rPr>
          <w:sz w:val="20"/>
          <w:szCs w:val="20"/>
          <w:color w:val="auto"/>
        </w:rPr>
      </w:pPr>
      <w:r>
        <w:rPr>
          <w:rFonts w:ascii="Arial" w:cs="Arial" w:eastAsia="Arial" w:hAnsi="Arial"/>
          <w:sz w:val="17"/>
          <w:szCs w:val="17"/>
          <w:b w:val="1"/>
          <w:bCs w:val="1"/>
          <w:i w:val="1"/>
          <w:iCs w:val="1"/>
          <w:color w:val="auto"/>
        </w:rPr>
        <w:t>Our principal stockholders, including entities affiliated with The Column Group, Merck and management, own a significant percentage of our stock and will be able to exert significant control over matters subject to stockholder approval.</w:t>
      </w:r>
    </w:p>
    <w:p>
      <w:pPr>
        <w:spacing w:after="0" w:line="44"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Our executive officers, directors, significant stockholders, including The Column Group and Merck, and their respective affiliates beneficially own a significant amount of our voting stock. Merck has granted a proxy to the chairman of our board of directors to vote Merck’s shares in favor of any action recommended and approved by our board of directors, subject to certain exceptions. These stockholders may be able to determine all matters requiring stockholder approval. For example, these stockholders may be able to control elections of directors, amendments of our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79" w:name="page80"/>
    <w:bookmarkEnd w:id="79"/>
    <w:p>
      <w:pPr>
        <w:ind w:right="780"/>
        <w:spacing w:after="0" w:line="245" w:lineRule="auto"/>
        <w:rPr>
          <w:sz w:val="20"/>
          <w:szCs w:val="20"/>
          <w:color w:val="auto"/>
        </w:rPr>
      </w:pPr>
      <w:r>
        <w:rPr>
          <w:rFonts w:ascii="Arial" w:cs="Arial" w:eastAsia="Arial" w:hAnsi="Arial"/>
          <w:sz w:val="18"/>
          <w:szCs w:val="18"/>
          <w:color w:val="auto"/>
        </w:rPr>
        <w:t>organizational documents or approval of any merger, sale of assets or other major corporate transaction. The interests of this group of stockholders may not always coincide with your interests or the interests of other stockholders.</w:t>
      </w:r>
    </w:p>
    <w:p>
      <w:pPr>
        <w:spacing w:after="0" w:line="284" w:lineRule="exact"/>
        <w:rPr>
          <w:sz w:val="20"/>
          <w:szCs w:val="20"/>
          <w:color w:val="auto"/>
        </w:rPr>
      </w:pPr>
    </w:p>
    <w:p>
      <w:pPr>
        <w:ind w:right="64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82" w:lineRule="exact"/>
        <w:rPr>
          <w:sz w:val="20"/>
          <w:szCs w:val="20"/>
          <w:color w:val="auto"/>
        </w:rPr>
      </w:pPr>
    </w:p>
    <w:p>
      <w:pPr>
        <w:ind w:right="380" w:firstLine="518"/>
        <w:spacing w:after="0" w:line="245"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90" w:lineRule="exact"/>
        <w:rPr>
          <w:sz w:val="20"/>
          <w:szCs w:val="20"/>
          <w:color w:val="auto"/>
        </w:rPr>
      </w:pPr>
    </w:p>
    <w:p>
      <w:pPr>
        <w:ind w:left="780" w:right="220" w:hanging="259"/>
        <w:spacing w:after="0" w:line="245"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requiring that our independent registered public accounting firm provide an attestation report on the effectiveness of our internal control over financial reporting;</w:t>
      </w:r>
    </w:p>
    <w:p>
      <w:pPr>
        <w:spacing w:after="0" w:line="90" w:lineRule="exact"/>
        <w:rPr>
          <w:rFonts w:ascii="Arial" w:cs="Arial" w:eastAsia="Arial" w:hAnsi="Arial"/>
          <w:sz w:val="18"/>
          <w:szCs w:val="18"/>
          <w:color w:val="auto"/>
        </w:rPr>
      </w:pPr>
    </w:p>
    <w:p>
      <w:pPr>
        <w:ind w:left="780" w:hanging="259"/>
        <w:spacing w:after="0" w:line="23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 and</w:t>
      </w:r>
    </w:p>
    <w:p>
      <w:pPr>
        <w:spacing w:after="0" w:line="96" w:lineRule="exact"/>
        <w:rPr>
          <w:rFonts w:ascii="Arial" w:cs="Arial" w:eastAsia="Arial" w:hAnsi="Arial"/>
          <w:sz w:val="18"/>
          <w:szCs w:val="18"/>
          <w:color w:val="auto"/>
        </w:rPr>
      </w:pPr>
    </w:p>
    <w:p>
      <w:pPr>
        <w:ind w:left="780" w:right="160" w:hanging="25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202" w:lineRule="exact"/>
        <w:rPr>
          <w:sz w:val="20"/>
          <w:szCs w:val="20"/>
          <w:color w:val="auto"/>
        </w:rPr>
      </w:pPr>
    </w:p>
    <w:p>
      <w:pPr>
        <w:ind w:right="240" w:firstLine="518"/>
        <w:spacing w:after="0" w:line="248" w:lineRule="auto"/>
        <w:rPr>
          <w:sz w:val="20"/>
          <w:szCs w:val="20"/>
          <w:color w:val="auto"/>
        </w:rPr>
      </w:pPr>
      <w:r>
        <w:rPr>
          <w:rFonts w:ascii="Arial" w:cs="Arial" w:eastAsia="Arial" w:hAnsi="Arial"/>
          <w:sz w:val="17"/>
          <w:szCs w:val="17"/>
          <w:color w:val="auto"/>
        </w:rPr>
        <w:t>We may take advantage of these reporting exemptions until we are no longer an emerging growth company, which in certain circumstances could be for up to five years. We will cease to be an “emerging growth company” upon the earliest of: (1) December 31, 2024;</w:t>
      </w:r>
    </w:p>
    <w:p>
      <w:pPr>
        <w:spacing w:after="0" w:line="1" w:lineRule="exact"/>
        <w:rPr>
          <w:sz w:val="20"/>
          <w:szCs w:val="20"/>
          <w:color w:val="auto"/>
        </w:rPr>
      </w:pPr>
    </w:p>
    <w:p>
      <w:pPr>
        <w:ind w:right="240" w:firstLine="8"/>
        <w:spacing w:after="0"/>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202" w:lineRule="exact"/>
        <w:rPr>
          <w:sz w:val="20"/>
          <w:szCs w:val="20"/>
          <w:color w:val="auto"/>
        </w:rPr>
      </w:pPr>
    </w:p>
    <w:p>
      <w:pPr>
        <w:ind w:right="80" w:firstLine="518"/>
        <w:spacing w:after="0" w:line="250" w:lineRule="auto"/>
        <w:rPr>
          <w:sz w:val="20"/>
          <w:szCs w:val="20"/>
          <w:color w:val="auto"/>
        </w:rPr>
      </w:pPr>
      <w:r>
        <w:rPr>
          <w:rFonts w:ascii="Arial" w:cs="Arial" w:eastAsia="Arial" w:hAnsi="Arial"/>
          <w:sz w:val="17"/>
          <w:szCs w:val="17"/>
          <w:color w:val="auto"/>
        </w:rPr>
        <w:t>Although we are still evaluating the JOBS Act, we currently intend to take advantage of some, but not all, of the reduced regulatory and reporting requirements that will be available to us so long as we qualify as an “emerging growth company.” We have elected to avail ourselves of this exemption and, therefore, we are not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285"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7"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80" w:name="page81"/>
    <w:bookmarkEnd w:id="80"/>
    <w:p>
      <w:pPr>
        <w:ind w:right="440"/>
        <w:spacing w:after="0" w:line="245" w:lineRule="auto"/>
        <w:rPr>
          <w:sz w:val="20"/>
          <w:szCs w:val="20"/>
          <w:color w:val="auto"/>
        </w:rPr>
      </w:pPr>
      <w:r>
        <w:rPr>
          <w:rFonts w:ascii="Arial" w:cs="Arial" w:eastAsia="Arial" w:hAnsi="Arial"/>
          <w:sz w:val="18"/>
          <w:szCs w:val="18"/>
          <w:color w:val="auto"/>
        </w:rPr>
        <w:t>investment may result in increased general and administrative expenses and a diversion of management time and attention from business activities to compliance activities.</w:t>
      </w:r>
    </w:p>
    <w:p>
      <w:pPr>
        <w:spacing w:after="0" w:line="284"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new compliance initiatives.</w:t>
      </w:r>
    </w:p>
    <w:p>
      <w:pPr>
        <w:spacing w:after="0" w:line="67"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and these expenses may increase even more after we are no longer an “emerging growth company.” As a public company, we are subject to the reporting requirements of the Exchange Act, the Sarbanes-Oxley Act of 2002 and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may increase our legal and financial compliance costs and may make some activities more time-consuming and costly. The increased costs will increase our net loss. For example,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4"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20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Global Select Market, the SEC or other regulatory authorities. In addition, our common stock may not be able to remain listed on The Nasdaq Global Select Market or any other securities exchange.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2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Substantially all of the shares of our common stock not sold in our initial public offering will be available for sale in the public market beginning after the end of the 180th day after the date of our initial public offering following the expiration of lock-up agreements, subject, in the case of our affiliates, to the conditions of Rule 144 under the Securities Act of 1933, as amended, or the Securities Act. Moreover, certain holders of our common stock have rights, subject to certain conditions, to require us to file registration statements covering their shares or to include their shares in registration statements that we may file for ourselves or other stockholders. Shares issued to Merck in the private placement that occurred concurrently with our IPO will be available for sale in the public market beginning on March 17,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25" w:lineRule="exact"/>
        <w:rPr>
          <w:sz w:val="20"/>
          <w:szCs w:val="20"/>
          <w:color w:val="auto"/>
        </w:rPr>
      </w:pPr>
    </w:p>
    <w:p>
      <w:pPr>
        <w:ind w:right="520" w:firstLine="518"/>
        <w:spacing w:after="0"/>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5"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06" w:lineRule="exact"/>
        <w:rPr>
          <w:sz w:val="20"/>
          <w:szCs w:val="20"/>
          <w:color w:val="auto"/>
        </w:rPr>
      </w:pPr>
    </w:p>
    <w:p>
      <w:pPr>
        <w:jc w:val="both"/>
        <w:ind w:firstLine="518"/>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2"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94" w:lineRule="exact"/>
        <w:rPr>
          <w:sz w:val="20"/>
          <w:szCs w:val="20"/>
          <w:color w:val="auto"/>
        </w:rPr>
      </w:pPr>
    </w:p>
    <w:p>
      <w:pPr>
        <w:ind w:left="780" w:right="460" w:hanging="259"/>
        <w:spacing w:after="0" w:line="245"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90" w:lineRule="exact"/>
        <w:rPr>
          <w:rFonts w:ascii="Arial" w:cs="Arial" w:eastAsia="Arial" w:hAnsi="Arial"/>
          <w:sz w:val="18"/>
          <w:szCs w:val="18"/>
          <w:color w:val="auto"/>
        </w:rPr>
      </w:pPr>
    </w:p>
    <w:p>
      <w:pPr>
        <w:ind w:left="780" w:right="360" w:hanging="259"/>
        <w:spacing w:after="0" w:line="245"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90" w:lineRule="exact"/>
        <w:rPr>
          <w:rFonts w:ascii="Arial" w:cs="Arial" w:eastAsia="Arial" w:hAnsi="Arial"/>
          <w:sz w:val="18"/>
          <w:szCs w:val="18"/>
          <w:color w:val="auto"/>
        </w:rPr>
      </w:pPr>
    </w:p>
    <w:p>
      <w:pPr>
        <w:ind w:left="780" w:right="180" w:hanging="259"/>
        <w:spacing w:after="0" w:line="245"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90" w:lineRule="exact"/>
        <w:rPr>
          <w:rFonts w:ascii="Arial" w:cs="Arial" w:eastAsia="Arial" w:hAnsi="Arial"/>
          <w:sz w:val="18"/>
          <w:szCs w:val="18"/>
          <w:color w:val="auto"/>
        </w:rPr>
      </w:pPr>
    </w:p>
    <w:p>
      <w:pPr>
        <w:ind w:left="780" w:right="1060" w:hanging="259"/>
        <w:spacing w:after="0" w:line="245"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03" w:lineRule="exact"/>
        <w:rPr>
          <w:rFonts w:ascii="Arial" w:cs="Arial" w:eastAsia="Arial" w:hAnsi="Arial"/>
          <w:sz w:val="18"/>
          <w:szCs w:val="18"/>
          <w:color w:val="auto"/>
        </w:rPr>
      </w:pPr>
    </w:p>
    <w:p>
      <w:pPr>
        <w:ind w:left="780" w:right="280" w:hanging="259"/>
        <w:spacing w:after="0" w:line="245"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9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6"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our agreement with Merck, a change of control gives Merck the right to terminate our research and early development program as well as additional rights if our acquirer is a qualifying large pharmaceutical company or has a research, development or commercialization program that competes with a program optioned by Merck. Merck has also granted a proxy to the chairman of our board of directors to vote Merck’s shares in favor of any action recommended and approved by our board of directors, subject to certain exceptions.</w:t>
      </w:r>
    </w:p>
    <w:p>
      <w:pPr>
        <w:spacing w:after="0" w:line="206" w:lineRule="exact"/>
        <w:rPr>
          <w:sz w:val="20"/>
          <w:szCs w:val="20"/>
          <w:color w:val="auto"/>
        </w:rPr>
      </w:pPr>
    </w:p>
    <w:p>
      <w:pPr>
        <w:jc w:val="both"/>
        <w:ind w:right="180" w:firstLine="518"/>
        <w:spacing w:after="0"/>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82" w:name="page83"/>
    <w:bookmarkEnd w:id="82"/>
    <w:p>
      <w:pPr>
        <w:ind w:right="120"/>
        <w:spacing w:after="0" w:line="274"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 These choice of forum provisions may limit a stockholder’s ability to bring a claim in a judicial forum that it finds favorable for disputes with us or our directors, officers or other employees. If a court were to find either choice of forum provision contained in our amended and restated certificate of incorporation to be inapplicable or unenforceable in an action, we may incur additional costs associated with resolving such action in other jurisdictions, which could harm our business. For example, in December 2018 the Court of Chancery of the State of Delaware determined that the exclusive forum provision of federal district courts of the United States for resolving any complaint asserting a cause of action arising under the Securities Act is not enforceable. However, this decision may be reviewed and ultimately overturned by the Delaware Supreme Court. If this ultimate adjudication were to occur, the federal district court exclusive forum provision in our amended and restated certificate of incorporation would no longer be applicable.</w:t>
      </w:r>
    </w:p>
    <w:p>
      <w:pPr>
        <w:spacing w:after="0" w:line="296"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 The trading market for our common stock depends, in part, on the research and reports that securities or industry analysts publish about us or our business. We do not have any control over these analysts. A limited number of analysts are currently covering our company.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April 1, 2019 we have made sales of the following unregistered securities:</w:t>
      </w:r>
    </w:p>
    <w:p>
      <w:pPr>
        <w:spacing w:after="0" w:line="103" w:lineRule="exact"/>
        <w:rPr>
          <w:sz w:val="20"/>
          <w:szCs w:val="20"/>
          <w:color w:val="auto"/>
        </w:rPr>
      </w:pPr>
    </w:p>
    <w:p>
      <w:pPr>
        <w:jc w:val="both"/>
        <w:ind w:right="60" w:firstLine="526"/>
        <w:spacing w:after="0"/>
        <w:tabs>
          <w:tab w:leader="none" w:pos="13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April 2019, we issued and sold 4,121,683 shares (the Private Placement Shares) of our common stock at a price per share of $16.00 to Merck in a private placement that occurred concurrently with the closing of our initial public offering. The aggregate cash purchase price of the Private Placement Shares was $65.9 million.</w:t>
      </w:r>
    </w:p>
    <w:p>
      <w:pPr>
        <w:spacing w:after="0" w:line="202" w:lineRule="exact"/>
        <w:rPr>
          <w:sz w:val="20"/>
          <w:szCs w:val="20"/>
          <w:color w:val="auto"/>
        </w:rPr>
      </w:pPr>
    </w:p>
    <w:p>
      <w:pPr>
        <w:ind w:right="460" w:firstLine="518"/>
        <w:spacing w:after="0" w:line="245" w:lineRule="auto"/>
        <w:rPr>
          <w:sz w:val="20"/>
          <w:szCs w:val="20"/>
          <w:color w:val="auto"/>
        </w:rPr>
      </w:pPr>
      <w:r>
        <w:rPr>
          <w:rFonts w:ascii="Arial" w:cs="Arial" w:eastAsia="Arial" w:hAnsi="Arial"/>
          <w:sz w:val="18"/>
          <w:szCs w:val="18"/>
          <w:color w:val="auto"/>
        </w:rPr>
        <w:t>The issuances and sales of the securities listed in (1) above was deemed to be exempt from registration under the Securities Act in reliance on Section 4(2) of the Securities Act, as a transaction by an issuer not involving a public offering.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125"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April 2019, our Registration Statement on Form S-1 (No. 333-227608) was declared effective by the SEC pursuant to which we issued and sold an aggregate of 7,521,394 shares of common stock (inclusive of 6,666,667 shares of common stock and 854,727 shares of common stock pursuant to the underwriters’ exercise of their over-allotment option) at a public offering price of $16.00 per share for aggregate net cash proceeds of $ 107.8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83" w:name="page84"/>
    <w:bookmarkEnd w:id="83"/>
    <w:p>
      <w:pPr>
        <w:ind w:right="20" w:firstLine="518"/>
        <w:spacing w:after="0"/>
        <w:rPr>
          <w:sz w:val="20"/>
          <w:szCs w:val="20"/>
          <w:color w:val="auto"/>
        </w:rPr>
      </w:pPr>
      <w:r>
        <w:rPr>
          <w:rFonts w:ascii="Arial" w:cs="Arial" w:eastAsia="Arial" w:hAnsi="Arial"/>
          <w:sz w:val="18"/>
          <w:szCs w:val="18"/>
          <w:color w:val="auto"/>
        </w:rPr>
        <w:t>The sale and issuance of 6,666,667 shares in the IPO closed on April 8, 2019 and the sale of 854,727 additional shares pursuant to the underwriters’ over-allotment option closed on May 7, 2019. Goldman Sachs &amp; Co. LLC, Citigroup Global Markets Inc. and Cowen and Company, LLC acted as joint book-running managers for the offering.</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 has been no material change in the planned use of proceeds from our initial public offering from that described in the Prospectus.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70"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6. Exhibits.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gridSpan w:val="12"/>
          </w:tcPr>
          <w:p>
            <w:pPr>
              <w:ind w:left="520"/>
              <w:spacing w:after="0"/>
              <w:rPr>
                <w:sz w:val="20"/>
                <w:szCs w:val="20"/>
                <w:color w:val="auto"/>
              </w:rPr>
            </w:pPr>
            <w:r>
              <w:rPr>
                <w:rFonts w:ascii="Arial" w:cs="Arial" w:eastAsia="Arial" w:hAnsi="Arial"/>
                <w:sz w:val="18"/>
                <w:szCs w:val="18"/>
                <w:color w:val="auto"/>
              </w:rPr>
              <w:t>Furnish the exhibits required by Item 601 of Regulation S-K (§ 229.601 of this chapter).</w:t>
            </w: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Incorporated by Reference</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94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70"/>
              <w:spacing w:after="0" w:line="173" w:lineRule="exact"/>
              <w:rPr>
                <w:sz w:val="20"/>
                <w:szCs w:val="20"/>
                <w:color w:val="auto"/>
              </w:rPr>
            </w:pPr>
            <w:r>
              <w:rPr>
                <w:rFonts w:ascii="Arial" w:cs="Arial" w:eastAsia="Arial" w:hAnsi="Arial"/>
                <w:sz w:val="18"/>
                <w:szCs w:val="18"/>
                <w:b w:val="1"/>
                <w:bCs w:val="1"/>
                <w:color w:val="auto"/>
                <w:w w:val="99"/>
              </w:rPr>
              <w:t>Schedule</w:t>
            </w:r>
          </w:p>
        </w:tc>
        <w:tc>
          <w:tcPr>
            <w:tcW w:w="1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39"/>
        </w:trPr>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9"/>
              </w:rPr>
              <w:t>Number</w:t>
            </w:r>
          </w:p>
        </w:tc>
        <w:tc>
          <w:tcPr>
            <w:tcW w:w="2300" w:type="dxa"/>
            <w:vAlign w:val="bottom"/>
          </w:tcPr>
          <w:p>
            <w:pPr>
              <w:spacing w:after="0"/>
              <w:rPr>
                <w:sz w:val="20"/>
                <w:szCs w:val="20"/>
                <w:color w:val="auto"/>
              </w:rPr>
            </w:pPr>
          </w:p>
        </w:tc>
        <w:tc>
          <w:tcPr>
            <w:tcW w:w="332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7"/>
              </w:rPr>
              <w:t>Form</w:t>
            </w:r>
          </w:p>
        </w:tc>
        <w:tc>
          <w:tcPr>
            <w:tcW w:w="15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File Number</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223"/>
        </w:trPr>
        <w:tc>
          <w:tcPr>
            <w:tcW w:w="94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5620" w:type="dxa"/>
            <w:vAlign w:val="bottom"/>
            <w:gridSpan w:val="10"/>
          </w:tcPr>
          <w:p>
            <w:pPr>
              <w:spacing w:after="0"/>
              <w:rPr>
                <w:rFonts w:ascii="Arial" w:cs="Arial" w:eastAsia="Arial" w:hAnsi="Arial"/>
                <w:sz w:val="18"/>
                <w:szCs w:val="18"/>
                <w:color w:val="0000EE"/>
              </w:rPr>
            </w:pPr>
            <w:hyperlink r:id="rId110">
              <w:r>
                <w:rPr>
                  <w:rFonts w:ascii="Arial" w:cs="Arial" w:eastAsia="Arial" w:hAnsi="Arial"/>
                  <w:sz w:val="18"/>
                  <w:szCs w:val="18"/>
                  <w:color w:val="0000EE"/>
                </w:rPr>
                <w:t>Amended and Restated Certificate of Incorporation</w:t>
              </w:r>
            </w:hyperlink>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001-38853</w:t>
            </w:r>
          </w:p>
        </w:tc>
        <w:tc>
          <w:tcPr>
            <w:tcW w:w="1160" w:type="dxa"/>
            <w:vAlign w:val="bottom"/>
          </w:tcPr>
          <w:p>
            <w:pPr>
              <w:jc w:val="center"/>
              <w:spacing w:after="0"/>
              <w:rPr>
                <w:sz w:val="20"/>
                <w:szCs w:val="20"/>
                <w:color w:val="auto"/>
              </w:rPr>
            </w:pPr>
            <w:r>
              <w:rPr>
                <w:rFonts w:ascii="Arial" w:cs="Arial" w:eastAsia="Arial" w:hAnsi="Arial"/>
                <w:sz w:val="18"/>
                <w:szCs w:val="18"/>
                <w:color w:val="auto"/>
              </w:rPr>
              <w:t>3.1</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36"/>
        </w:trPr>
        <w:tc>
          <w:tcPr>
            <w:tcW w:w="94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4040" w:type="dxa"/>
            <w:vAlign w:val="bottom"/>
            <w:tcBorders>
              <w:top w:val="single" w:sz="8" w:color="0000EE"/>
            </w:tcBorders>
            <w:gridSpan w:val="4"/>
          </w:tcPr>
          <w:p>
            <w:pPr>
              <w:spacing w:after="0"/>
              <w:rPr>
                <w:rFonts w:ascii="Arial" w:cs="Arial" w:eastAsia="Arial" w:hAnsi="Arial"/>
                <w:sz w:val="18"/>
                <w:szCs w:val="18"/>
                <w:color w:val="0000EE"/>
              </w:rPr>
            </w:pPr>
            <w:hyperlink r:id="rId111">
              <w:r>
                <w:rPr>
                  <w:rFonts w:ascii="Arial" w:cs="Arial" w:eastAsia="Arial" w:hAnsi="Arial"/>
                  <w:sz w:val="18"/>
                  <w:szCs w:val="18"/>
                  <w:color w:val="0000EE"/>
                </w:rPr>
                <w:t>Amended and Restated Bylaws</w:t>
              </w:r>
            </w:hyperlink>
          </w:p>
        </w:tc>
        <w:tc>
          <w:tcPr>
            <w:tcW w:w="1580" w:type="dxa"/>
            <w:vAlign w:val="bottom"/>
            <w:gridSpan w:val="6"/>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333-227608</w:t>
            </w:r>
          </w:p>
        </w:tc>
        <w:tc>
          <w:tcPr>
            <w:tcW w:w="1160" w:type="dxa"/>
            <w:vAlign w:val="bottom"/>
          </w:tcPr>
          <w:p>
            <w:pPr>
              <w:jc w:val="center"/>
              <w:spacing w:after="0"/>
              <w:rPr>
                <w:sz w:val="20"/>
                <w:szCs w:val="20"/>
                <w:color w:val="auto"/>
              </w:rPr>
            </w:pPr>
            <w:r>
              <w:rPr>
                <w:rFonts w:ascii="Arial" w:cs="Arial" w:eastAsia="Arial" w:hAnsi="Arial"/>
                <w:sz w:val="18"/>
                <w:szCs w:val="18"/>
                <w:color w:val="auto"/>
              </w:rPr>
              <w:t>3.4</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9/28/18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31.1*</w:t>
            </w:r>
          </w:p>
        </w:tc>
        <w:tc>
          <w:tcPr>
            <w:tcW w:w="5620" w:type="dxa"/>
            <w:vAlign w:val="bottom"/>
            <w:gridSpan w:val="1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Certification of Chief Executive Officer and Acting Financial Officer</w:t>
              </w:r>
            </w:hyperlink>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52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Pursuant to Rules 13a-14(a) and 15d-14(a) under the Securities</w:t>
              </w:r>
            </w:hyperlink>
          </w:p>
        </w:tc>
        <w:tc>
          <w:tcPr>
            <w:tcW w:w="36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40" w:type="dxa"/>
            <w:vAlign w:val="bottom"/>
          </w:tcPr>
          <w:p>
            <w:pPr>
              <w:spacing w:after="0"/>
              <w:rPr>
                <w:sz w:val="15"/>
                <w:szCs w:val="15"/>
                <w:color w:val="auto"/>
              </w:rPr>
            </w:pPr>
          </w:p>
        </w:tc>
        <w:tc>
          <w:tcPr>
            <w:tcW w:w="524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87">
              <w:r>
                <w:rPr>
                  <w:rFonts w:ascii="Arial" w:cs="Arial" w:eastAsia="Arial" w:hAnsi="Arial"/>
                  <w:sz w:val="18"/>
                  <w:szCs w:val="18"/>
                  <w:color w:val="0000EE"/>
                  <w:w w:val="99"/>
                </w:rPr>
                <w:t>Exchange Act of 1934, as Adopted Pursuant to Section 302 of the</w:t>
              </w:r>
            </w:hyperlink>
          </w:p>
        </w:tc>
        <w:tc>
          <w:tcPr>
            <w:tcW w:w="380" w:type="dxa"/>
            <w:vAlign w:val="bottom"/>
            <w:gridSpan w:val="3"/>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23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87">
              <w:r>
                <w:rPr>
                  <w:rFonts w:ascii="Arial" w:cs="Arial" w:eastAsia="Arial" w:hAnsi="Arial"/>
                  <w:sz w:val="18"/>
                  <w:szCs w:val="18"/>
                  <w:color w:val="0000EE"/>
                  <w:w w:val="99"/>
                </w:rPr>
                <w:t>Sarbanes-Oxley Act of 2002.</w:t>
              </w:r>
            </w:hyperlink>
          </w:p>
        </w:tc>
        <w:tc>
          <w:tcPr>
            <w:tcW w:w="3320" w:type="dxa"/>
            <w:vAlign w:val="bottom"/>
            <w:gridSpan w:val="9"/>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32.1*</w:t>
            </w:r>
          </w:p>
        </w:tc>
        <w:tc>
          <w:tcPr>
            <w:tcW w:w="5620" w:type="dxa"/>
            <w:vAlign w:val="bottom"/>
            <w:gridSpan w:val="1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Certification of Chief Executive Officer and Acting Chief Financial</w:t>
              </w:r>
            </w:hyperlink>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40" w:type="dxa"/>
            <w:vAlign w:val="bottom"/>
          </w:tcPr>
          <w:p>
            <w:pPr>
              <w:spacing w:after="0"/>
              <w:rPr>
                <w:sz w:val="15"/>
                <w:szCs w:val="15"/>
                <w:color w:val="auto"/>
              </w:rPr>
            </w:pPr>
          </w:p>
        </w:tc>
        <w:tc>
          <w:tcPr>
            <w:tcW w:w="5620" w:type="dxa"/>
            <w:vAlign w:val="bottom"/>
            <w:gridSpan w:val="10"/>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Officer Pursuant to 18 U.S.C. Section 1350, as Adopted Pursuant to</w:t>
              </w:r>
            </w:hyperlink>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38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88">
              <w:r>
                <w:rPr>
                  <w:rFonts w:ascii="Arial" w:cs="Arial" w:eastAsia="Arial" w:hAnsi="Arial"/>
                  <w:sz w:val="18"/>
                  <w:szCs w:val="18"/>
                  <w:color w:val="0000EE"/>
                  <w:w w:val="99"/>
                </w:rPr>
                <w:t>Section 906 of the Sarbanes-Oxley Act of 2002.</w:t>
              </w:r>
            </w:hyperlink>
          </w:p>
        </w:tc>
        <w:tc>
          <w:tcPr>
            <w:tcW w:w="1600" w:type="dxa"/>
            <w:vAlign w:val="bottom"/>
            <w:tcBorders>
              <w:top w:val="single" w:sz="8" w:color="0000EE"/>
            </w:tcBorders>
            <w:gridSpan w:val="6"/>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562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10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562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10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562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562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562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1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562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9677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316"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NGM Biopharmaceuticals, Inc.</w:t>
      </w:r>
    </w:p>
    <w:p>
      <w:pPr>
        <w:spacing w:after="0" w:line="30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August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23495</wp:posOffset>
            </wp:positionV>
            <wp:extent cx="33318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J. Woodhouse, Ph.D.</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Executive Officer, Acting Chief Financial Officer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332" w:right="27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PERIODIC REPORT UNDER SECTION 302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J. Woodhouse, certify that:</w:t>
      </w:r>
    </w:p>
    <w:p>
      <w:pPr>
        <w:spacing w:after="0" w:line="211" w:lineRule="exact"/>
        <w:rPr>
          <w:sz w:val="20"/>
          <w:szCs w:val="20"/>
          <w:color w:val="auto"/>
        </w:rPr>
      </w:pPr>
    </w:p>
    <w:p>
      <w:pPr>
        <w:ind w:left="760" w:hanging="752"/>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Form 10-Q of NGM Biopharmaceuticals, Inc.;</w:t>
      </w:r>
    </w:p>
    <w:p>
      <w:pPr>
        <w:spacing w:after="0" w:line="211" w:lineRule="exact"/>
        <w:rPr>
          <w:rFonts w:ascii="Arial" w:cs="Arial" w:eastAsia="Arial" w:hAnsi="Arial"/>
          <w:sz w:val="18"/>
          <w:szCs w:val="18"/>
          <w:color w:val="auto"/>
        </w:rPr>
      </w:pPr>
    </w:p>
    <w:p>
      <w:pPr>
        <w:jc w:val="both"/>
        <w:ind w:left="760" w:hanging="752"/>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760" w:hanging="752"/>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760" w:hanging="752"/>
        <w:spacing w:after="0" w:line="245"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1520" w:hanging="757"/>
        <w:spacing w:after="0"/>
        <w:tabs>
          <w:tab w:leader="none" w:pos="15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520" w:hanging="757"/>
        <w:spacing w:after="0"/>
        <w:tabs>
          <w:tab w:leader="none" w:pos="15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520" w:hanging="757"/>
        <w:spacing w:after="0"/>
        <w:tabs>
          <w:tab w:leader="none" w:pos="15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760" w:hanging="752"/>
        <w:spacing w:after="0" w:line="245"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520" w:hanging="757"/>
        <w:spacing w:after="0"/>
        <w:tabs>
          <w:tab w:leader="none" w:pos="15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520" w:hanging="730"/>
        <w:spacing w:after="0" w:line="245" w:lineRule="auto"/>
        <w:tabs>
          <w:tab w:leader="none" w:pos="15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2019</w:t>
      </w:r>
    </w:p>
    <w:p>
      <w:pPr>
        <w:spacing w:after="0" w:line="200" w:lineRule="exact"/>
        <w:rPr>
          <w:sz w:val="20"/>
          <w:szCs w:val="20"/>
          <w:color w:val="auto"/>
        </w:rPr>
      </w:pPr>
    </w:p>
    <w:p>
      <w:pPr>
        <w:spacing w:after="0" w:line="254"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3954145</wp:posOffset>
            </wp:positionH>
            <wp:positionV relativeFrom="paragraph">
              <wp:posOffset>-1905</wp:posOffset>
            </wp:positionV>
            <wp:extent cx="32975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297555"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color w:val="auto"/>
        </w:rPr>
        <w:t>David J. Woodhouse, Ph.D.</w:t>
      </w:r>
    </w:p>
    <w:p>
      <w:pPr>
        <w:spacing w:after="0" w:line="18"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Chief Executive Officer and Acting Chief Financial Officer</w:t>
      </w:r>
    </w:p>
    <w:p>
      <w:pPr>
        <w:sectPr>
          <w:pgSz w:w="11900" w:h="16838" w:orient="portrait"/>
          <w:cols w:equalWidth="0" w:num="1">
            <w:col w:w="11420"/>
          </w:cols>
          <w:pgMar w:left="240" w:top="118"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David J. Woodhouse, Chief Executive Officer and Acting Chief Financial Officer of NGM Biopharmaceuticals, Inc. (the “Company”) hereby certifies that, to the best of his knowledge:</w:t>
      </w:r>
    </w:p>
    <w:p>
      <w:pPr>
        <w:spacing w:after="0" w:line="202" w:lineRule="exact"/>
        <w:rPr>
          <w:sz w:val="20"/>
          <w:szCs w:val="20"/>
          <w:color w:val="auto"/>
        </w:rPr>
      </w:pPr>
    </w:p>
    <w:p>
      <w:pPr>
        <w:ind w:left="880" w:hanging="872"/>
        <w:spacing w:after="0" w:line="24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2019, to which this Certification is attached as Exhibit 32.1 (the “Periodic Report”), fully complies with the requirements of Section 13(a) or Section 15(d) of the Exchange Act; and</w:t>
      </w:r>
    </w:p>
    <w:p>
      <w:pPr>
        <w:spacing w:after="0" w:line="197" w:lineRule="exact"/>
        <w:rPr>
          <w:rFonts w:ascii="Arial" w:cs="Arial" w:eastAsia="Arial" w:hAnsi="Arial"/>
          <w:sz w:val="18"/>
          <w:szCs w:val="18"/>
          <w:color w:val="auto"/>
        </w:rPr>
      </w:pPr>
    </w:p>
    <w:p>
      <w:pPr>
        <w:ind w:left="880" w:hanging="872"/>
        <w:spacing w:after="0" w:line="24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12,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has set his hands hereto as of the twelfth day of August, 2019.</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6233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6233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J. Woodhouse, Ph.D.</w:t>
      </w:r>
    </w:p>
    <w:p>
      <w:pPr>
        <w:spacing w:after="0"/>
        <w:rPr>
          <w:sz w:val="20"/>
          <w:szCs w:val="20"/>
          <w:color w:val="auto"/>
        </w:rPr>
      </w:pPr>
      <w:r>
        <w:rPr>
          <w:rFonts w:ascii="Arial" w:cs="Arial" w:eastAsia="Arial" w:hAnsi="Arial"/>
          <w:sz w:val="18"/>
          <w:szCs w:val="18"/>
          <w:i w:val="1"/>
          <w:iCs w:val="1"/>
          <w:color w:val="auto"/>
        </w:rPr>
        <w:t>Chief Executive Officer and Acting Chief Financial Officer</w:t>
      </w:r>
    </w:p>
    <w:p>
      <w:pPr>
        <w:spacing w:after="0" w:line="2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“This certification accompanies the Form 10-Q to which it relates, is not deemed filed with the Securities and Exchange Commission and is not to be incorporated by reference into any filing of NGM Biopharmaceuticals,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1."/>
      <w:numFmt w:val="decimal"/>
      <w:start w:val="4"/>
    </w:lvl>
  </w:abstractNum>
  <w:abstractNum w:abstractNumId="4">
    <w:nsid w:val="2D1D5AE9"/>
    <w:multiLevelType w:val="hybridMultilevel"/>
    <w:lvl w:ilvl="0">
      <w:lvlJc w:val="left"/>
      <w:lvlText w:val="%1."/>
      <w:numFmt w:val="decimal"/>
      <w:start w:val="7"/>
    </w:lvl>
  </w:abstractNum>
  <w:abstractNum w:abstractNumId="5">
    <w:nsid w:val="6763845E"/>
    <w:multiLevelType w:val="hybridMultilevel"/>
    <w:lvl w:ilvl="0">
      <w:lvlJc w:val="left"/>
      <w:lvlText w:val="%1."/>
      <w:numFmt w:val="decimal"/>
      <w:start w:val="9"/>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2"/>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0" Type="http://schemas.openxmlformats.org/officeDocument/2006/relationships/hyperlink" Target="http://www.sec.gov/Archives/edgar/data/1426332/000119312519100757/d731361dex31.htm" TargetMode="External"/><Relationship Id="rId111" Type="http://schemas.openxmlformats.org/officeDocument/2006/relationships/hyperlink" Target="http://www.sec.gov/Archives/edgar/data/1426332/000119312518287727/d693178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2019-12-28T07:02:02Z</dcterms:created>
  <dcterms:modified xsi:type="dcterms:W3CDTF">2019-12-28T07:02:02Z</dcterms:modified>
</cp:coreProperties>
</file>