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07/28/2020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8"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8"/>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0"/>
            <w:vMerge w:val="continue"/>
          </w:tcPr>
          <w:p>
            <w:pPr>
              <w:spacing w:after="0" w:line="20" w:lineRule="exact"/>
              <w:rPr>
                <w:sz w:val="1"/>
                <w:szCs w:val="1"/>
                <w:color w:val="auto"/>
              </w:rPr>
            </w:pPr>
          </w:p>
        </w:tc>
        <w:tc>
          <w:tcPr>
            <w:tcW w:w="364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10"/>
            <w:vMerge w:val="continue"/>
          </w:tcPr>
          <w:p>
            <w:pPr>
              <w:spacing w:after="0"/>
              <w:rPr>
                <w:sz w:val="12"/>
                <w:szCs w:val="12"/>
                <w:color w:val="auto"/>
              </w:rPr>
            </w:pPr>
          </w:p>
        </w:tc>
        <w:tc>
          <w:tcPr>
            <w:tcW w:w="3640" w:type="dxa"/>
            <w:vAlign w:val="bottom"/>
            <w:gridSpan w:val="8"/>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Arial" w:cs="Arial" w:eastAsia="Arial" w:hAnsi="Arial"/>
                <w:sz w:val="17"/>
                <w:szCs w:val="17"/>
                <w:color w:val="0000FF"/>
                <w:w w:val="87"/>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jc w:val="center"/>
              <w:ind w:left="9"/>
              <w:spacing w:after="0" w:line="131" w:lineRule="exact"/>
              <w:rPr>
                <w:sz w:val="20"/>
                <w:szCs w:val="20"/>
                <w:color w:val="auto"/>
              </w:rPr>
            </w:pPr>
            <w:r>
              <w:rPr>
                <w:rFonts w:ascii="Arial" w:cs="Arial" w:eastAsia="Arial" w:hAnsi="Arial"/>
                <w:sz w:val="12"/>
                <w:szCs w:val="12"/>
                <w:b w:val="1"/>
                <w:bCs w:val="1"/>
                <w:color w:val="auto"/>
                <w:w w:val="99"/>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11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 (D)</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720"/>
              <w:spacing w:after="0"/>
              <w:rPr>
                <w:sz w:val="20"/>
                <w:szCs w:val="20"/>
                <w:color w:val="auto"/>
              </w:rPr>
            </w:pPr>
            <w:r>
              <w:rPr>
                <w:rFonts w:ascii="Arial" w:cs="Arial" w:eastAsia="Arial" w:hAnsi="Arial"/>
                <w:sz w:val="17"/>
                <w:szCs w:val="17"/>
                <w:color w:val="0000FF"/>
              </w:rPr>
              <w:t>07/28/2020</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P</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4,105</w:t>
            </w:r>
            <w:r>
              <w:rPr>
                <w:rFonts w:ascii="Arial" w:cs="Arial" w:eastAsia="Arial" w:hAnsi="Arial"/>
                <w:sz w:val="22"/>
                <w:szCs w:val="22"/>
                <w:color w:val="008000"/>
                <w:vertAlign w:val="superscript"/>
              </w:rPr>
              <w:t>(1)</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17.99</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92"/>
              </w:rPr>
              <w:t>1,616,952</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7"/>
              </w:rPr>
              <w:t>16,166,907</w:t>
            </w:r>
            <w:r>
              <w:rPr>
                <w:rFonts w:ascii="Arial" w:cs="Arial" w:eastAsia="Arial" w:hAnsi="Arial"/>
                <w:sz w:val="22"/>
                <w:szCs w:val="22"/>
                <w:color w:val="008000"/>
                <w:w w:val="87"/>
                <w:vertAlign w:val="superscript"/>
              </w:rPr>
              <w:t>(4)</w:t>
            </w:r>
          </w:p>
        </w:tc>
        <w:tc>
          <w:tcPr>
            <w:tcW w:w="1120" w:type="dxa"/>
            <w:vAlign w:val="bottom"/>
            <w:tcBorders>
              <w:bottom w:val="single" w:sz="8" w:color="2C2C2C"/>
            </w:tcBorders>
            <w:gridSpan w:val="2"/>
          </w:tcPr>
          <w:p>
            <w:pPr>
              <w:ind w:left="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(5)(6)(7)(8)(9)(10)</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8"/>
              </w:rPr>
              <w:t>15,000</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8"/>
              </w:rPr>
              <w:t>44,000</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91"/>
              </w:rPr>
              <w:t>190,000</w:t>
            </w:r>
          </w:p>
        </w:tc>
        <w:tc>
          <w:tcPr>
            <w:tcW w:w="280" w:type="dxa"/>
            <w:vAlign w:val="bottom"/>
          </w:tcPr>
          <w:p>
            <w:pPr>
              <w:spacing w:after="0"/>
              <w:rPr>
                <w:sz w:val="22"/>
                <w:szCs w:val="22"/>
                <w:color w:val="auto"/>
              </w:rPr>
            </w:pPr>
          </w:p>
        </w:tc>
        <w:tc>
          <w:tcPr>
            <w:tcW w:w="840" w:type="dxa"/>
            <w:vAlign w:val="bottom"/>
            <w:vMerge w:val="restart"/>
          </w:tcPr>
          <w:p>
            <w:pPr>
              <w:ind w:left="20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8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jc w:val="center"/>
              <w:ind w:left="9"/>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jc w:val="center"/>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jc w:val="center"/>
              <w:ind w:left="29"/>
              <w:spacing w:after="0"/>
              <w:rPr>
                <w:sz w:val="20"/>
                <w:szCs w:val="20"/>
                <w:color w:val="auto"/>
              </w:rPr>
            </w:pPr>
            <w:r>
              <w:rPr>
                <w:rFonts w:ascii="Arial" w:cs="Arial" w:eastAsia="Arial" w:hAnsi="Arial"/>
                <w:sz w:val="17"/>
                <w:szCs w:val="17"/>
                <w:color w:val="0000FF"/>
                <w:w w:val="92"/>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w w:val="99"/>
              </w:rPr>
            </w:pPr>
            <w:hyperlink r:id="rId15">
              <w:r>
                <w:rPr>
                  <w:rFonts w:ascii="Arial" w:cs="Arial" w:eastAsia="Arial" w:hAnsi="Arial"/>
                  <w:sz w:val="21"/>
                  <w:szCs w:val="21"/>
                  <w:u w:val="single" w:color="auto"/>
                  <w:color w:val="0000EE"/>
                  <w:w w:val="99"/>
                </w:rPr>
                <w:t>COLUMN GROUP II, LP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jc w:val="center"/>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-6506210</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109855</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28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SAN</w:t>
      </w:r>
      <w:r>
        <w:rPr>
          <w:sz w:val="20"/>
          <w:szCs w:val="20"/>
          <w:color w:val="auto"/>
        </w:rPr>
        <w:tab/>
      </w:r>
      <w:r>
        <w:rPr>
          <w:rFonts w:ascii="Arial" w:cs="Arial" w:eastAsia="Arial" w:hAnsi="Arial"/>
          <w:sz w:val="17"/>
          <w:szCs w:val="17"/>
          <w:color w:val="0000FF"/>
        </w:rPr>
        <w:t>CA</w:t>
      </w:r>
      <w:r>
        <w:rPr>
          <w:sz w:val="20"/>
          <w:szCs w:val="20"/>
          <w:color w:val="auto"/>
        </w:rPr>
        <w:tab/>
      </w:r>
      <w:r>
        <w:rPr>
          <w:rFonts w:ascii="Arial" w:cs="Arial" w:eastAsia="Arial" w:hAnsi="Arial"/>
          <w:sz w:val="15"/>
          <w:szCs w:val="15"/>
          <w:color w:val="0000FF"/>
        </w:rPr>
        <w:t>94158</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-118110</wp:posOffset>
            </wp:positionV>
            <wp:extent cx="2783840" cy="10526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83840" cy="10526395"/>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COLUMN GROUP GP,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w w:val="93"/>
              </w:rPr>
            </w:pPr>
            <w:hyperlink r:id="rId20">
              <w:r>
                <w:rPr>
                  <w:rFonts w:ascii="Arial" w:cs="Arial" w:eastAsia="Arial" w:hAnsi="Arial"/>
                  <w:sz w:val="21"/>
                  <w:szCs w:val="21"/>
                  <w:u w:val="single" w:color="auto"/>
                  <w:color w:val="0000EE"/>
                  <w:w w:val="93"/>
                </w:rPr>
                <w:t>Column Group Management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PONOI CAPITAL,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Ponoi Management, LLC</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Ponoi Capital II,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-9544050</wp:posOffset>
            </wp:positionV>
            <wp:extent cx="2766695" cy="100272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2766695" cy="10027285"/>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9979"/>
          </w:cols>
          <w:pgMar w:left="480" w:top="131" w:right="1440" w:bottom="0" w:gutter="0" w:footer="0" w:header="0"/>
        </w:sectPr>
      </w:pPr>
    </w:p>
    <w:p>
      <w:pPr>
        <w:ind w:left="100"/>
        <w:spacing w:after="0"/>
        <w:rPr>
          <w:rFonts w:ascii="Arial" w:cs="Arial" w:eastAsia="Arial" w:hAnsi="Arial"/>
          <w:sz w:val="20"/>
          <w:szCs w:val="20"/>
          <w:u w:val="single" w:color="auto"/>
          <w:color w:val="0000EE"/>
        </w:rPr>
      </w:pPr>
      <w:hyperlink r:id="rId25">
        <w:r>
          <w:rPr>
            <w:rFonts w:ascii="Arial" w:cs="Arial" w:eastAsia="Arial" w:hAnsi="Arial"/>
            <w:sz w:val="20"/>
            <w:szCs w:val="20"/>
            <w:u w:val="single" w:color="auto"/>
            <w:color w:val="0000EE"/>
          </w:rPr>
          <w:t>Ponoi II Management, LLC</w:t>
        </w:r>
      </w:hyperlink>
    </w:p>
    <w:p>
      <w:pPr>
        <w:sectPr>
          <w:pgSz w:w="11900" w:h="16838" w:orient="portrait"/>
          <w:cols w:equalWidth="0" w:num="1">
            <w:col w:w="9979"/>
          </w:cols>
          <w:pgMar w:left="480" w:top="131"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1260" w:type="dxa"/>
            <w:vAlign w:val="bottom"/>
          </w:tcPr>
          <w:p>
            <w:pPr>
              <w:spacing w:after="0"/>
              <w:rPr>
                <w:rFonts w:ascii="Arial" w:cs="Arial" w:eastAsia="Arial" w:hAnsi="Arial"/>
                <w:sz w:val="21"/>
                <w:szCs w:val="21"/>
                <w:u w:val="single" w:color="auto"/>
                <w:color w:val="0000EE"/>
              </w:rPr>
            </w:pPr>
            <w:hyperlink r:id="rId26">
              <w:r>
                <w:rPr>
                  <w:rFonts w:ascii="Arial" w:cs="Arial" w:eastAsia="Arial" w:hAnsi="Arial"/>
                  <w:sz w:val="21"/>
                  <w:szCs w:val="21"/>
                  <w:u w:val="single" w:color="auto"/>
                  <w:color w:val="0000EE"/>
                </w:rPr>
                <w:t>Kutzkey Tim</w:t>
              </w:r>
            </w:hyperlink>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76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7">
              <w:r>
                <w:rPr>
                  <w:rFonts w:ascii="Arial" w:cs="Arial" w:eastAsia="Arial" w:hAnsi="Arial"/>
                  <w:sz w:val="21"/>
                  <w:szCs w:val="21"/>
                  <w:u w:val="single" w:color="auto"/>
                  <w:color w:val="0000EE"/>
                </w:rPr>
                <w:t>Column Group II GP, LP</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5339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2783840" cy="53390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6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1,928 shares of Common Stock held directly by The Column Group III, LP ("TCG III LP") and 2,177 shares of Common Stock held directly by The Column Group III-A, LP ("TCG III-A LP").</w:t>
      </w:r>
    </w:p>
    <w:p>
      <w:pPr>
        <w:spacing w:after="0" w:line="15" w:lineRule="exact"/>
        <w:rPr>
          <w:rFonts w:ascii="Arial" w:cs="Arial" w:eastAsia="Arial" w:hAnsi="Arial"/>
          <w:sz w:val="13"/>
          <w:szCs w:val="13"/>
          <w:color w:val="008000"/>
        </w:rPr>
      </w:pPr>
    </w:p>
    <w:p>
      <w:pPr>
        <w:ind w:left="20" w:right="1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2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righ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40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10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00" w:firstLine="7"/>
        <w:spacing w:after="0" w:line="250"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50" w:lineRule="exact"/>
        <w:rPr>
          <w:rFonts w:ascii="Arial" w:cs="Arial" w:eastAsia="Arial" w:hAnsi="Arial"/>
          <w:sz w:val="13"/>
          <w:szCs w:val="13"/>
          <w:color w:val="008000"/>
        </w:rPr>
      </w:pPr>
    </w:p>
    <w:p>
      <w:pPr>
        <w:ind w:left="20" w:firstLine="7"/>
        <w:spacing w:after="0" w:line="245"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 who is a managing partner at The Column Group which invests through TCG II LP, Ponoi LP, Ponoi II LP, TCG III LP and TCG III-A LP (collectively, the "Funds"), among other entities. Under the partnership agreements of the Funds and his agreement with TCGM LP, Mr. Svennilson is deemed to hold certain of the securities for the economic benefit of the Funds and TCGM LP. The Funds and their respective general partners, TCGM LP and the individual managing partners of such entities may be deemed indirect beneficial owners of such securities. Such reporting persons disclaim beneficial ownership of the securities except to the extent of their pecuniary interest therein.</w:t>
      </w:r>
    </w:p>
    <w:p>
      <w:pPr>
        <w:spacing w:after="0" w:line="29"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David V. Goeddel and Alena Z. Goeddel 2004 Trust for which David V. Goeddel and Alena Z. Goeddel serve as co-trustee.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Due to SEC restrictions on the number of reporting owners, this is Form 1 of 2.</w:t>
      </w:r>
    </w:p>
    <w:p>
      <w:pPr>
        <w:spacing w:after="0" w:line="6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07/30/2020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312" w:right="57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4" Type="http://schemas.openxmlformats.org/officeDocument/2006/relationships/image" Target="media/image9.png"/><Relationship Id="rId28" Type="http://schemas.openxmlformats.org/officeDocument/2006/relationships/image" Target="media/image10.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00420" TargetMode="External"/><Relationship Id="rId19" Type="http://schemas.openxmlformats.org/officeDocument/2006/relationships/hyperlink" Target="http://www.sec.gov/cgi-bin/browse-edgar?action=getcompany&amp;CIK=0001614627" TargetMode="External"/><Relationship Id="rId20" Type="http://schemas.openxmlformats.org/officeDocument/2006/relationships/hyperlink" Target="http://www.sec.gov/cgi-bin/browse-edgar?action=getcompany&amp;CIK=0001645340" TargetMode="External"/><Relationship Id="rId21" Type="http://schemas.openxmlformats.org/officeDocument/2006/relationships/hyperlink" Target="http://www.sec.gov/cgi-bin/browse-edgar?action=getcompany&amp;CIK=0001707230" TargetMode="External"/><Relationship Id="rId22" Type="http://schemas.openxmlformats.org/officeDocument/2006/relationships/hyperlink" Target="http://www.sec.gov/cgi-bin/browse-edgar?action=getcompany&amp;CIK=0001720702" TargetMode="External"/><Relationship Id="rId23" Type="http://schemas.openxmlformats.org/officeDocument/2006/relationships/hyperlink" Target="http://www.sec.gov/cgi-bin/browse-edgar?action=getcompany&amp;CIK=0001732601" TargetMode="External"/><Relationship Id="rId25" Type="http://schemas.openxmlformats.org/officeDocument/2006/relationships/hyperlink" Target="http://www.sec.gov/cgi-bin/browse-edgar?action=getcompany&amp;CIK=0001746488" TargetMode="External"/><Relationship Id="rId26" Type="http://schemas.openxmlformats.org/officeDocument/2006/relationships/hyperlink" Target="http://www.sec.gov/cgi-bin/browse-edgar?action=getcompany&amp;CIK=0001614186" TargetMode="External"/><Relationship Id="rId27"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2020-07-30T18:32:38Z</dcterms:created>
  <dcterms:modified xsi:type="dcterms:W3CDTF">2020-07-30T18:32:38Z</dcterms:modified>
</cp:coreProperties>
</file>