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551815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CURRENT REPORT</w:t>
      </w: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the Securities Exchange Act of 1934</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June 5, 2020</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NGM Biopharmaceuticals, Inc.</w:t>
      </w: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40"/>
          </w:cols>
          <w:pgMar w:left="320" w:top="989" w:right="339" w:bottom="1440" w:gutter="0" w:footer="0" w:header="0"/>
        </w:sectPr>
      </w:pPr>
    </w:p>
    <w:p>
      <w:pPr>
        <w:spacing w:after="0" w:line="138" w:lineRule="exact"/>
        <w:rPr>
          <w:sz w:val="24"/>
          <w:szCs w:val="24"/>
          <w:color w:val="auto"/>
        </w:rPr>
      </w:pPr>
    </w:p>
    <w:p>
      <w:pPr>
        <w:jc w:val="center"/>
        <w:ind w:left="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1560"/>
        <w:spacing w:after="0"/>
        <w:rPr>
          <w:sz w:val="20"/>
          <w:szCs w:val="20"/>
          <w:color w:val="auto"/>
        </w:rPr>
      </w:pPr>
      <w:r>
        <w:rPr>
          <w:rFonts w:ascii="Arial" w:cs="Arial" w:eastAsia="Arial" w:hAnsi="Arial"/>
          <w:sz w:val="16"/>
          <w:szCs w:val="16"/>
          <w:b w:val="1"/>
          <w:bCs w:val="1"/>
          <w:color w:val="auto"/>
        </w:rPr>
        <w:t>001-38853</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26-1679911</w:t>
      </w:r>
    </w:p>
    <w:p>
      <w:pPr>
        <w:spacing w:after="0" w:line="43" w:lineRule="exact"/>
        <w:rPr>
          <w:sz w:val="24"/>
          <w:szCs w:val="24"/>
          <w:color w:val="auto"/>
        </w:rPr>
      </w:pPr>
    </w:p>
    <w:p>
      <w:pPr>
        <w:sectPr>
          <w:pgSz w:w="11900" w:h="16838" w:orient="portrait"/>
          <w:cols w:equalWidth="0" w:num="3">
            <w:col w:w="4500" w:space="720"/>
            <w:col w:w="2340" w:space="720"/>
            <w:col w:w="2960"/>
          </w:cols>
          <w:pgMar w:left="320" w:top="989" w:right="339" w:bottom="1440" w:gutter="0" w:footer="0" w:header="0"/>
          <w:type w:val="continuous"/>
        </w:sectPr>
      </w:pPr>
    </w:p>
    <w:p>
      <w:pPr>
        <w:jc w:val="center"/>
        <w:ind w:left="600"/>
        <w:spacing w:after="0"/>
        <w:rPr>
          <w:sz w:val="20"/>
          <w:szCs w:val="20"/>
          <w:color w:val="auto"/>
        </w:rPr>
      </w:pPr>
      <w:r>
        <w:rPr>
          <w:rFonts w:ascii="Arial" w:cs="Arial" w:eastAsia="Arial" w:hAnsi="Arial"/>
          <w:sz w:val="13"/>
          <w:szCs w:val="13"/>
          <w:b w:val="1"/>
          <w:bCs w:val="1"/>
          <w:color w:val="auto"/>
        </w:rPr>
        <w:t>(State or Other Jurisdiction</w:t>
      </w:r>
    </w:p>
    <w:p>
      <w:pPr>
        <w:jc w:val="center"/>
        <w:ind w:left="60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500"/>
        <w:spacing w:after="0"/>
        <w:rPr>
          <w:sz w:val="20"/>
          <w:szCs w:val="20"/>
          <w:color w:val="auto"/>
        </w:rPr>
      </w:pPr>
      <w:r>
        <w:rPr>
          <w:rFonts w:ascii="Arial" w:cs="Arial" w:eastAsia="Arial" w:hAnsi="Arial"/>
          <w:sz w:val="13"/>
          <w:szCs w:val="13"/>
          <w:b w:val="1"/>
          <w:bCs w:val="1"/>
          <w:color w:val="auto"/>
        </w:rPr>
        <w:t>(IRS Employer Identification No.)</w:t>
      </w:r>
    </w:p>
    <w:p>
      <w:pPr>
        <w:spacing w:after="0" w:line="277" w:lineRule="exact"/>
        <w:rPr>
          <w:sz w:val="24"/>
          <w:szCs w:val="24"/>
          <w:color w:val="auto"/>
        </w:rPr>
      </w:pPr>
    </w:p>
    <w:p>
      <w:pPr>
        <w:sectPr>
          <w:pgSz w:w="11900" w:h="16838" w:orient="portrait"/>
          <w:cols w:equalWidth="0" w:num="3">
            <w:col w:w="4480" w:space="720"/>
            <w:col w:w="1740" w:space="720"/>
            <w:col w:w="3580"/>
          </w:cols>
          <w:pgMar w:left="320" w:top="989" w:right="339" w:bottom="1440" w:gutter="0" w:footer="0" w:header="0"/>
          <w:type w:val="continuous"/>
        </w:sectPr>
      </w:pPr>
    </w:p>
    <w:p>
      <w:pPr>
        <w:jc w:val="center"/>
        <w:ind w:right="360"/>
        <w:spacing w:after="0"/>
        <w:rPr>
          <w:sz w:val="20"/>
          <w:szCs w:val="20"/>
          <w:color w:val="auto"/>
        </w:rPr>
      </w:pPr>
      <w:r>
        <w:rPr>
          <w:rFonts w:ascii="Arial" w:cs="Arial" w:eastAsia="Arial" w:hAnsi="Arial"/>
          <w:sz w:val="16"/>
          <w:szCs w:val="16"/>
          <w:b w:val="1"/>
          <w:bCs w:val="1"/>
          <w:color w:val="auto"/>
        </w:rPr>
        <w:t>333 Oyster Point Boulevard</w:t>
      </w:r>
    </w:p>
    <w:p>
      <w:pPr>
        <w:spacing w:after="0" w:line="50" w:lineRule="exact"/>
        <w:rPr>
          <w:sz w:val="24"/>
          <w:szCs w:val="24"/>
          <w:color w:val="auto"/>
        </w:rPr>
      </w:pPr>
    </w:p>
    <w:p>
      <w:pPr>
        <w:jc w:val="center"/>
        <w:ind w:right="360"/>
        <w:spacing w:after="0"/>
        <w:rPr>
          <w:sz w:val="20"/>
          <w:szCs w:val="20"/>
          <w:color w:val="auto"/>
        </w:rPr>
      </w:pPr>
      <w:r>
        <w:rPr>
          <w:rFonts w:ascii="Arial" w:cs="Arial" w:eastAsia="Arial" w:hAnsi="Arial"/>
          <w:sz w:val="17"/>
          <w:szCs w:val="17"/>
          <w:b w:val="1"/>
          <w:bCs w:val="1"/>
          <w:color w:val="auto"/>
        </w:rPr>
        <w:t>South San Francisco, CA</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jc w:val="center"/>
        <w:ind w:right="3080"/>
        <w:spacing w:after="0"/>
        <w:rPr>
          <w:sz w:val="20"/>
          <w:szCs w:val="20"/>
          <w:color w:val="auto"/>
        </w:rPr>
      </w:pPr>
      <w:r>
        <w:rPr>
          <w:rFonts w:ascii="Arial" w:cs="Arial" w:eastAsia="Arial" w:hAnsi="Arial"/>
          <w:sz w:val="16"/>
          <w:szCs w:val="16"/>
          <w:b w:val="1"/>
          <w:bCs w:val="1"/>
          <w:color w:val="auto"/>
        </w:rPr>
        <w:t>94080</w:t>
      </w:r>
    </w:p>
    <w:p>
      <w:pPr>
        <w:spacing w:after="0" w:line="50" w:lineRule="exact"/>
        <w:rPr>
          <w:sz w:val="24"/>
          <w:szCs w:val="24"/>
          <w:color w:val="auto"/>
        </w:rPr>
      </w:pPr>
    </w:p>
    <w:p>
      <w:pPr>
        <w:sectPr>
          <w:pgSz w:w="11900" w:h="16838" w:orient="portrait"/>
          <w:cols w:equalWidth="0" w:num="2">
            <w:col w:w="6980" w:space="720"/>
            <w:col w:w="3540"/>
          </w:cols>
          <w:pgMar w:left="320" w:top="989" w:right="339" w:bottom="1440" w:gutter="0" w:footer="0" w:header="0"/>
          <w:type w:val="continuous"/>
        </w:sectPr>
      </w:pPr>
    </w:p>
    <w:p>
      <w:pPr>
        <w:ind w:left="208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980"/>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6880" w:space="720"/>
            <w:col w:w="3640"/>
          </w:cols>
          <w:pgMar w:left="320" w:top="989" w:right="3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(650) 243-5555</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196" w:lineRule="exact"/>
        <w:rPr>
          <w:sz w:val="24"/>
          <w:szCs w:val="24"/>
          <w:color w:val="auto"/>
        </w:rPr>
      </w:pPr>
    </w:p>
    <w:p>
      <w:pPr>
        <w:ind w:right="68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27" w:lineRule="exact"/>
        <w:rPr>
          <w:sz w:val="24"/>
          <w:szCs w:val="24"/>
          <w:color w:val="auto"/>
        </w:rPr>
      </w:pPr>
    </w:p>
    <w:p>
      <w:pPr>
        <w:ind w:left="740" w:hanging="54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8" w:lineRule="exact"/>
        <w:rPr>
          <w:rFonts w:ascii="MS PGothic" w:cs="MS PGothic" w:eastAsia="MS PGothic" w:hAnsi="MS PGothic"/>
          <w:sz w:val="18"/>
          <w:szCs w:val="18"/>
          <w:color w:val="auto"/>
        </w:rPr>
      </w:pPr>
    </w:p>
    <w:p>
      <w:pPr>
        <w:ind w:left="740" w:hanging="54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740" w:hanging="54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38" w:lineRule="exact"/>
        <w:rPr>
          <w:rFonts w:ascii="MS PGothic" w:cs="MS PGothic" w:eastAsia="MS PGothic" w:hAnsi="MS PGothic"/>
          <w:sz w:val="18"/>
          <w:szCs w:val="18"/>
          <w:color w:val="auto"/>
        </w:rPr>
      </w:pPr>
    </w:p>
    <w:p>
      <w:pPr>
        <w:ind w:left="740" w:hanging="544"/>
        <w:spacing w:after="0"/>
        <w:tabs>
          <w:tab w:leader="none" w:pos="7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tbl>
      <w:tblPr>
        <w:tblLayout w:type="fixed"/>
        <w:tblInd w:w="0" w:type="dxa"/>
        <w:tblCellMar>
          <w:top w:w="0" w:type="dxa"/>
          <w:left w:w="0" w:type="dxa"/>
          <w:bottom w:w="0" w:type="dxa"/>
          <w:right w:w="0" w:type="dxa"/>
        </w:tblCellMar>
      </w:tblPr>
      <w:tr>
        <w:trPr>
          <w:trHeight w:val="149"/>
        </w:trPr>
        <w:tc>
          <w:tcPr>
            <w:tcW w:w="4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7"/>
              </w:rPr>
              <w:t>Trading</w:t>
            </w:r>
          </w:p>
        </w:tc>
        <w:tc>
          <w:tcPr>
            <w:tcW w:w="5020" w:type="dxa"/>
            <w:vAlign w:val="bottom"/>
          </w:tcPr>
          <w:p>
            <w:pPr>
              <w:spacing w:after="0"/>
              <w:rPr>
                <w:sz w:val="12"/>
                <w:szCs w:val="12"/>
                <w:color w:val="auto"/>
              </w:rPr>
            </w:pPr>
          </w:p>
        </w:tc>
      </w:tr>
      <w:tr>
        <w:trPr>
          <w:trHeight w:val="185"/>
        </w:trPr>
        <w:tc>
          <w:tcPr>
            <w:tcW w:w="4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18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Symbol(s)</w:t>
            </w:r>
          </w:p>
        </w:tc>
        <w:tc>
          <w:tcPr>
            <w:tcW w:w="502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4"/>
        </w:trPr>
        <w:tc>
          <w:tcPr>
            <w:tcW w:w="42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40" w:type="dxa"/>
            <w:vAlign w:val="bottom"/>
          </w:tcPr>
          <w:p>
            <w:pPr>
              <w:spacing w:after="0"/>
              <w:rPr>
                <w:sz w:val="19"/>
                <w:szCs w:val="19"/>
                <w:color w:val="auto"/>
              </w:rPr>
            </w:pPr>
          </w:p>
        </w:tc>
        <w:tc>
          <w:tcPr>
            <w:tcW w:w="16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NGM</w:t>
            </w:r>
          </w:p>
        </w:tc>
        <w:tc>
          <w:tcPr>
            <w:tcW w:w="140" w:type="dxa"/>
            <w:vAlign w:val="bottom"/>
          </w:tcPr>
          <w:p>
            <w:pPr>
              <w:spacing w:after="0"/>
              <w:rPr>
                <w:sz w:val="19"/>
                <w:szCs w:val="19"/>
                <w:color w:val="auto"/>
              </w:rPr>
            </w:pPr>
          </w:p>
        </w:tc>
        <w:tc>
          <w:tcPr>
            <w:tcW w:w="50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5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502285</wp:posOffset>
            </wp:positionV>
            <wp:extent cx="714946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989" w:right="339" w:bottom="1440" w:gutter="0" w:footer="0" w:header="0"/>
          <w:type w:val="continuous"/>
        </w:sectPr>
      </w:pPr>
    </w:p>
    <w:bookmarkStart w:id="1" w:name="page2"/>
    <w:bookmarkEnd w:id="1"/>
    <w:p>
      <w:pPr>
        <w:ind w:right="620"/>
        <w:spacing w:after="0" w:line="267" w:lineRule="auto"/>
        <w:rPr>
          <w:sz w:val="20"/>
          <w:szCs w:val="20"/>
          <w:color w:val="auto"/>
        </w:rPr>
      </w:pPr>
      <w:r>
        <w:rPr>
          <w:rFonts w:ascii="Arial" w:cs="Arial" w:eastAsia="Arial" w:hAnsi="Arial"/>
          <w:sz w:val="20"/>
          <w:szCs w:val="20"/>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ind w:right="340" w:firstLine="546"/>
        <w:spacing w:after="0" w:line="260" w:lineRule="auto"/>
        <w:rPr>
          <w:sz w:val="20"/>
          <w:szCs w:val="20"/>
          <w:color w:val="auto"/>
        </w:rPr>
      </w:pPr>
      <w:r>
        <w:rPr>
          <w:rFonts w:ascii="Arial" w:cs="Arial" w:eastAsia="Arial" w:hAnsi="Arial"/>
          <w:sz w:val="20"/>
          <w:szCs w:val="20"/>
          <w:color w:val="auto"/>
        </w:rPr>
        <w:t>On June 5, 2020 (the “</w:t>
      </w:r>
      <w:r>
        <w:rPr>
          <w:rFonts w:ascii="Arial" w:cs="Arial" w:eastAsia="Arial" w:hAnsi="Arial"/>
          <w:sz w:val="20"/>
          <w:szCs w:val="20"/>
          <w:b w:val="1"/>
          <w:bCs w:val="1"/>
          <w:i w:val="1"/>
          <w:iCs w:val="1"/>
          <w:color w:val="auto"/>
        </w:rPr>
        <w:t>Effective Date</w:t>
      </w:r>
      <w:r>
        <w:rPr>
          <w:rFonts w:ascii="Arial" w:cs="Arial" w:eastAsia="Arial" w:hAnsi="Arial"/>
          <w:sz w:val="20"/>
          <w:szCs w:val="20"/>
          <w:color w:val="auto"/>
        </w:rPr>
        <w:t>”), the Board of Directors (the “</w:t>
      </w:r>
      <w:r>
        <w:rPr>
          <w:rFonts w:ascii="Arial" w:cs="Arial" w:eastAsia="Arial" w:hAnsi="Arial"/>
          <w:sz w:val="20"/>
          <w:szCs w:val="20"/>
          <w:b w:val="1"/>
          <w:bCs w:val="1"/>
          <w:i w:val="1"/>
          <w:iCs w:val="1"/>
          <w:color w:val="auto"/>
        </w:rPr>
        <w:t>Board</w:t>
      </w:r>
      <w:r>
        <w:rPr>
          <w:rFonts w:ascii="Arial" w:cs="Arial" w:eastAsia="Arial" w:hAnsi="Arial"/>
          <w:sz w:val="20"/>
          <w:szCs w:val="20"/>
          <w:color w:val="auto"/>
        </w:rPr>
        <w:t>”) of NGM Biopharmaceuticals, Inc. (the “</w:t>
      </w:r>
      <w:r>
        <w:rPr>
          <w:rFonts w:ascii="Arial" w:cs="Arial" w:eastAsia="Arial" w:hAnsi="Arial"/>
          <w:sz w:val="20"/>
          <w:szCs w:val="20"/>
          <w:b w:val="1"/>
          <w:bCs w:val="1"/>
          <w:i w:val="1"/>
          <w:iCs w:val="1"/>
          <w:color w:val="auto"/>
        </w:rPr>
        <w:t>Company</w:t>
      </w:r>
      <w:r>
        <w:rPr>
          <w:rFonts w:ascii="Arial" w:cs="Arial" w:eastAsia="Arial" w:hAnsi="Arial"/>
          <w:sz w:val="20"/>
          <w:szCs w:val="20"/>
          <w:color w:val="auto"/>
        </w:rPr>
        <w:t>”) increased the authorized size of the Board from nine to ten members, creating a vacancy on the Board.</w:t>
      </w:r>
    </w:p>
    <w:p>
      <w:pPr>
        <w:spacing w:after="0" w:line="177" w:lineRule="exact"/>
        <w:rPr>
          <w:sz w:val="20"/>
          <w:szCs w:val="20"/>
          <w:color w:val="auto"/>
        </w:rPr>
      </w:pPr>
    </w:p>
    <w:p>
      <w:pPr>
        <w:ind w:firstLine="546"/>
        <w:spacing w:after="0" w:line="250" w:lineRule="auto"/>
        <w:rPr>
          <w:sz w:val="20"/>
          <w:szCs w:val="20"/>
          <w:color w:val="auto"/>
        </w:rPr>
      </w:pPr>
      <w:r>
        <w:rPr>
          <w:rFonts w:ascii="Arial" w:cs="Arial" w:eastAsia="Arial" w:hAnsi="Arial"/>
          <w:sz w:val="20"/>
          <w:szCs w:val="20"/>
          <w:color w:val="auto"/>
        </w:rPr>
        <w:t>On the Effective Date, upon the recommendation of the Nominating and Corporate Governance Committee of the Board, the Board appointed Carole Ho, M.D. to fill the vacant Board seat and to serve as a member of the Board with an initial term expiring at the Company’s 2023 annual meeting of stockholders.</w:t>
      </w:r>
    </w:p>
    <w:p>
      <w:pPr>
        <w:spacing w:after="0" w:line="186" w:lineRule="exact"/>
        <w:rPr>
          <w:sz w:val="20"/>
          <w:szCs w:val="20"/>
          <w:color w:val="auto"/>
        </w:rPr>
      </w:pPr>
    </w:p>
    <w:p>
      <w:pPr>
        <w:ind w:right="60" w:firstLine="546"/>
        <w:spacing w:after="0" w:line="246" w:lineRule="auto"/>
        <w:rPr>
          <w:sz w:val="20"/>
          <w:szCs w:val="20"/>
          <w:color w:val="auto"/>
        </w:rPr>
      </w:pPr>
      <w:r>
        <w:rPr>
          <w:rFonts w:ascii="Arial" w:cs="Arial" w:eastAsia="Arial" w:hAnsi="Arial"/>
          <w:sz w:val="20"/>
          <w:szCs w:val="20"/>
          <w:color w:val="auto"/>
        </w:rPr>
        <w:t>There are no arrangements or understandings between Dr. Ho and any other persons pursuant to which she was selected as a director of the Company. The Board has determined that Dr. Ho is independent under the Company’s Corporate Governance Guidelines, applicable U.S. Securities and Exchange Commission requirements and Nasdaq listing standards. There is no transaction involving Dr. Ho that requires disclosure under Item 404(a) of Regulation S-K.</w:t>
      </w:r>
    </w:p>
    <w:p>
      <w:pPr>
        <w:spacing w:after="0" w:line="191" w:lineRule="exact"/>
        <w:rPr>
          <w:sz w:val="20"/>
          <w:szCs w:val="20"/>
          <w:color w:val="auto"/>
        </w:rPr>
      </w:pPr>
    </w:p>
    <w:p>
      <w:pPr>
        <w:ind w:right="80" w:firstLine="546"/>
        <w:spacing w:after="0" w:line="242" w:lineRule="auto"/>
        <w:rPr>
          <w:sz w:val="20"/>
          <w:szCs w:val="20"/>
          <w:color w:val="auto"/>
        </w:rPr>
      </w:pPr>
      <w:r>
        <w:rPr>
          <w:rFonts w:ascii="Arial" w:cs="Arial" w:eastAsia="Arial" w:hAnsi="Arial"/>
          <w:sz w:val="20"/>
          <w:szCs w:val="20"/>
          <w:color w:val="auto"/>
        </w:rPr>
        <w:t>As of the Effective Date, Dr. Ho will participate in the Company’s Non-Employee Director Compensation Policy (the “</w:t>
      </w:r>
      <w:r>
        <w:rPr>
          <w:rFonts w:ascii="Arial" w:cs="Arial" w:eastAsia="Arial" w:hAnsi="Arial"/>
          <w:sz w:val="20"/>
          <w:szCs w:val="20"/>
          <w:b w:val="1"/>
          <w:bCs w:val="1"/>
          <w:i w:val="1"/>
          <w:iCs w:val="1"/>
          <w:color w:val="auto"/>
        </w:rPr>
        <w:t>Policy</w:t>
      </w:r>
      <w:r>
        <w:rPr>
          <w:rFonts w:ascii="Arial" w:cs="Arial" w:eastAsia="Arial" w:hAnsi="Arial"/>
          <w:sz w:val="20"/>
          <w:szCs w:val="20"/>
          <w:color w:val="auto"/>
        </w:rPr>
        <w:t>”), which is described in the Company’s definitive proxy statement for the 2020 Annual Meeting of Stockholders, filed with the Securities and Exchange Commission on April 8, 2020. Under the Policy, Dr. Ho will receive an annual retainer of $40,000 for her service on the Board starting on the Effective Date with payment pro-rated for any partial period of service. In addition, on the Effective Date, Dr. Ho received an option to purchase 39,515 shares of the Company’s Common Stock, which will vest one-third after the first year, with the remaining shares vesting quarterly over the second and third years, such that the grant will be fully vested on the third anniversary of the Effective Date, subject to Dr. Ho’s continuous service as a member of the Board. The Company will also enter into its standard form of indemnification agreement with Dr. Ho.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941705</wp:posOffset>
            </wp:positionV>
            <wp:extent cx="714946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603" w:right="37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20"/>
          <w:szCs w:val="20"/>
          <w:b w:val="1"/>
          <w:bCs w:val="1"/>
          <w:color w:val="auto"/>
        </w:rPr>
        <w:t>SIGNATURES</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8" w:lineRule="exact"/>
        <w:rPr>
          <w:sz w:val="20"/>
          <w:szCs w:val="20"/>
          <w:color w:val="auto"/>
        </w:rPr>
      </w:pPr>
    </w:p>
    <w:p>
      <w:pPr>
        <w:ind w:left="4820"/>
        <w:spacing w:after="0"/>
        <w:rPr>
          <w:sz w:val="20"/>
          <w:szCs w:val="20"/>
          <w:color w:val="auto"/>
        </w:rPr>
      </w:pPr>
      <w:r>
        <w:rPr>
          <w:rFonts w:ascii="Arial" w:cs="Arial" w:eastAsia="Arial" w:hAnsi="Arial"/>
          <w:sz w:val="20"/>
          <w:szCs w:val="20"/>
          <w:b w:val="1"/>
          <w:bCs w:val="1"/>
          <w:color w:val="auto"/>
        </w:rPr>
        <w:t>NGM Biopharmaceuticals, Inc.</w:t>
      </w:r>
    </w:p>
    <w:p>
      <w:pPr>
        <w:spacing w:after="0" w:line="397" w:lineRule="exact"/>
        <w:rPr>
          <w:sz w:val="20"/>
          <w:szCs w:val="20"/>
          <w:color w:val="auto"/>
        </w:rPr>
      </w:pPr>
    </w:p>
    <w:p>
      <w:pPr>
        <w:ind w:left="4820"/>
        <w:spacing w:after="0"/>
        <w:rPr>
          <w:sz w:val="20"/>
          <w:szCs w:val="20"/>
          <w:color w:val="auto"/>
        </w:rPr>
      </w:pPr>
      <w:r>
        <w:rPr>
          <w:rFonts w:ascii="Arial" w:cs="Arial" w:eastAsia="Arial" w:hAnsi="Arial"/>
          <w:sz w:val="20"/>
          <w:szCs w:val="20"/>
          <w:color w:val="auto"/>
        </w:rPr>
        <w:t>By: /s/ Valerie Pierce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10160</wp:posOffset>
            </wp:positionV>
            <wp:extent cx="26574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01" w:lineRule="exact"/>
        <w:rPr>
          <w:sz w:val="20"/>
          <w:szCs w:val="20"/>
          <w:color w:val="auto"/>
        </w:rPr>
      </w:pPr>
    </w:p>
    <w:p>
      <w:pPr>
        <w:ind w:left="5180"/>
        <w:spacing w:after="0"/>
        <w:rPr>
          <w:sz w:val="20"/>
          <w:szCs w:val="20"/>
          <w:color w:val="auto"/>
        </w:rPr>
      </w:pPr>
      <w:r>
        <w:rPr>
          <w:rFonts w:ascii="Arial" w:cs="Arial" w:eastAsia="Arial" w:hAnsi="Arial"/>
          <w:sz w:val="20"/>
          <w:szCs w:val="20"/>
          <w:color w:val="auto"/>
        </w:rPr>
        <w:t>Valerie Pierce</w:t>
      </w:r>
    </w:p>
    <w:p>
      <w:pPr>
        <w:spacing w:after="0" w:line="16" w:lineRule="exact"/>
        <w:rPr>
          <w:sz w:val="20"/>
          <w:szCs w:val="20"/>
          <w:color w:val="auto"/>
        </w:rPr>
      </w:pPr>
    </w:p>
    <w:p>
      <w:pPr>
        <w:ind w:left="5180"/>
        <w:spacing w:after="0"/>
        <w:rPr>
          <w:sz w:val="20"/>
          <w:szCs w:val="20"/>
          <w:color w:val="auto"/>
        </w:rPr>
      </w:pPr>
      <w:r>
        <w:rPr>
          <w:rFonts w:ascii="Arial" w:cs="Arial" w:eastAsia="Arial" w:hAnsi="Arial"/>
          <w:sz w:val="20"/>
          <w:szCs w:val="20"/>
          <w:i w:val="1"/>
          <w:iCs w:val="1"/>
          <w:color w:val="auto"/>
        </w:rPr>
        <w:t>Senior Vice President and General Counsel</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color w:val="auto"/>
        </w:rPr>
        <w:t>Date:  June 8, 2020</w:t>
      </w:r>
    </w:p>
    <w:sectPr>
      <w:pgSz w:w="11900" w:h="16838" w:orient="portrait"/>
      <w:cols w:equalWidth="0" w:num="1">
        <w:col w:w="11020"/>
      </w:cols>
      <w:pgMar w:left="320" w:top="603"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2020-06-08T15:06:41Z</dcterms:created>
  <dcterms:modified xsi:type="dcterms:W3CDTF">2020-06-08T15:06:41Z</dcterms:modified>
</cp:coreProperties>
</file>