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120"/>
        <w:ind w:left="0" w:right="0" w:hanging="360"/>
        <w:jc w:val="both"/>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200" w:after="120"/>
        <w:jc w:val="center"/>
        <w:rPr>
          <w:rFonts w:ascii="Arial;sans-serif" w:hAnsi="Arial;sans-serif"/>
          <w:b/>
          <w:color w:val="000000"/>
          <w:sz w:val="32"/>
        </w:rPr>
      </w:pPr>
      <w:r>
        <w:rPr>
          <w:rFonts w:ascii="Arial;sans-serif" w:hAnsi="Arial;sans-serif"/>
          <w:b/>
          <w:color w:val="000000"/>
          <w:sz w:val="32"/>
        </w:rPr>
        <w:t>FORM 10-Q</w:t>
      </w:r>
    </w:p>
    <w:p>
      <w:pPr>
        <w:pStyle w:val="TextBody"/>
        <w:spacing w:lineRule="auto" w:line="288" w:before="80" w:after="120"/>
        <w:jc w:val="both"/>
        <w:rPr>
          <w:rFonts w:ascii="Arial;sans-serif" w:hAnsi="Arial;sans-serif"/>
          <w:b/>
          <w:color w:val="000000"/>
          <w:sz w:val="16"/>
        </w:rPr>
      </w:pPr>
      <w:r>
        <w:rPr>
          <w:rFonts w:ascii="Arial;sans-serif" w:hAnsi="Arial;sans-serif"/>
          <w:b/>
          <w:color w:val="000000"/>
          <w:sz w:val="16"/>
        </w:rPr>
        <w:t>(Mark One)</w:t>
      </w:r>
    </w:p>
    <w:tbl>
      <w:tblPr>
        <w:tblW w:w="10205" w:type="dxa"/>
        <w:jc w:val="center"/>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spacing w:lineRule="auto" w:line="288" w:before="60" w:after="120"/>
        <w:jc w:val="center"/>
        <w:rPr/>
      </w:pPr>
      <w:r>
        <w:rPr>
          <w:rFonts w:ascii="Arial;sans-serif" w:hAnsi="Arial;sans-serif"/>
          <w:b/>
          <w:color w:val="000000"/>
          <w:sz w:val="20"/>
        </w:rPr>
        <w:t>For the quarterly period ended March 31, 2023</w:t>
      </w:r>
      <w:r>
        <w:rPr>
          <w:color w:val="000000"/>
        </w:rPr>
        <w:t> </w:t>
      </w:r>
    </w:p>
    <w:p>
      <w:pPr>
        <w:pStyle w:val="TextBody"/>
        <w:spacing w:lineRule="auto" w:line="288" w:before="60" w:after="12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spacing w:lineRule="auto" w:line="288" w:before="60" w:after="120"/>
        <w:jc w:val="center"/>
        <w:rPr>
          <w:rFonts w:ascii="Arial;sans-serif" w:hAnsi="Arial;sans-serif"/>
          <w:b/>
          <w:color w:val="000000"/>
          <w:sz w:val="20"/>
        </w:rPr>
      </w:pPr>
      <w:r>
        <w:rPr>
          <w:rFonts w:ascii="Arial;sans-serif" w:hAnsi="Arial;sans-serif"/>
          <w:b/>
          <w:color w:val="000000"/>
          <w:sz w:val="20"/>
        </w:rPr>
        <w:t>For the transition period from _______ to _______</w:t>
      </w:r>
    </w:p>
    <w:p>
      <w:pPr>
        <w:pStyle w:val="TextBody"/>
        <w:spacing w:lineRule="auto" w:line="288" w:before="60" w:after="60"/>
        <w:jc w:val="center"/>
        <w:rPr>
          <w:rFonts w:ascii="Arial;sans-serif" w:hAnsi="Arial;sans-serif"/>
          <w:b/>
          <w:color w:val="000000"/>
          <w:sz w:val="20"/>
        </w:rPr>
      </w:pPr>
      <w:r>
        <w:rPr>
          <w:rFonts w:ascii="Arial;sans-serif" w:hAnsi="Arial;sans-serif"/>
          <w:b/>
          <w:color w:val="000000"/>
          <w:sz w:val="20"/>
        </w:rPr>
        <w:t>Commission File Number: 001-38853</w:t>
      </w:r>
    </w:p>
    <w:p>
      <w:pPr>
        <w:pStyle w:val="TextBody"/>
        <w:spacing w:lineRule="auto" w:line="288" w:before="200" w:after="120"/>
        <w:jc w:val="center"/>
        <w:rPr>
          <w:rFonts w:ascii="Arial;sans-serif" w:hAnsi="Arial;sans-serif"/>
          <w:b/>
          <w:color w:val="000000"/>
          <w:sz w:val="40"/>
        </w:rPr>
      </w:pPr>
      <w:r>
        <w:rPr>
          <w:rFonts w:ascii="Arial;sans-serif" w:hAnsi="Arial;sans-serif"/>
          <w:b/>
          <w:color w:val="000000"/>
          <w:sz w:val="40"/>
        </w:rPr>
        <w:t>NGM BIOPHARMACEUTICALS, INC.</w:t>
      </w:r>
    </w:p>
    <w:p>
      <w:pPr>
        <w:pStyle w:val="TextBody"/>
        <w:spacing w:lineRule="auto" w:line="288" w:before="120" w:after="12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914" w:type="dxa"/>
        <w:jc w:val="left"/>
        <w:tblInd w:w="0" w:type="dxa"/>
        <w:tblCellMar>
          <w:top w:w="28" w:type="dxa"/>
          <w:left w:w="28" w:type="dxa"/>
          <w:bottom w:w="28" w:type="dxa"/>
          <w:right w:w="28" w:type="dxa"/>
        </w:tblCellMar>
      </w:tblPr>
      <w:tblGrid>
        <w:gridCol w:w="867"/>
        <w:gridCol w:w="762"/>
        <w:gridCol w:w="769"/>
        <w:gridCol w:w="443"/>
        <w:gridCol w:w="443"/>
        <w:gridCol w:w="630"/>
      </w:tblGrid>
      <w:tr>
        <w:trPr/>
        <w:tc>
          <w:tcPr>
            <w:tcW w:w="867"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r>
      <w:tr>
        <w:trPr/>
        <w:tc>
          <w:tcPr>
            <w:tcW w:w="2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26-1679911</w:t>
            </w:r>
          </w:p>
        </w:tc>
      </w:tr>
      <w:tr>
        <w:trPr/>
        <w:tc>
          <w:tcPr>
            <w:tcW w:w="2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r>
        <w:trPr/>
        <w:tc>
          <w:tcPr>
            <w:tcW w:w="3914"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333 Oyster Point Boulevard</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South San Francisco, CA 94080</w:t>
            </w:r>
          </w:p>
        </w:tc>
      </w:tr>
      <w:tr>
        <w:trPr/>
        <w:tc>
          <w:tcPr>
            <w:tcW w:w="391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 including zip code)</w:t>
            </w:r>
          </w:p>
        </w:tc>
      </w:tr>
    </w:tbl>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(650) 243-5555</w:t>
      </w:r>
    </w:p>
    <w:p>
      <w:pPr>
        <w:pStyle w:val="TextBody"/>
        <w:spacing w:lineRule="auto" w:line="288" w:before="40" w:after="12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spacing w:lineRule="auto" w:line="288" w:before="100" w:after="12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491" w:type="dxa"/>
        <w:jc w:val="center"/>
        <w:tblInd w:w="0" w:type="dxa"/>
        <w:tblCellMar>
          <w:top w:w="28" w:type="dxa"/>
          <w:left w:w="28" w:type="dxa"/>
          <w:bottom w:w="28" w:type="dxa"/>
          <w:right w:w="28" w:type="dxa"/>
        </w:tblCellMar>
      </w:tblPr>
      <w:tblGrid>
        <w:gridCol w:w="1325"/>
        <w:gridCol w:w="1164"/>
        <w:gridCol w:w="1171"/>
        <w:gridCol w:w="265"/>
        <w:gridCol w:w="265"/>
        <w:gridCol w:w="266"/>
        <w:gridCol w:w="1182"/>
        <w:gridCol w:w="1182"/>
        <w:gridCol w:w="1671"/>
      </w:tblGrid>
      <w:tr>
        <w:trPr/>
        <w:tc>
          <w:tcPr>
            <w:tcW w:w="1325"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79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Trading</w:t>
              <w:br/>
              <w:t> Symbol</w:t>
            </w:r>
          </w:p>
        </w:tc>
        <w:tc>
          <w:tcPr>
            <w:tcW w:w="40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66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79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NGM</w:t>
            </w:r>
          </w:p>
        </w:tc>
        <w:tc>
          <w:tcPr>
            <w:tcW w:w="403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spacing w:lineRule="auto" w:line="288" w:before="160" w:after="120"/>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120"/>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160" w:after="120"/>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45" w:type="dxa"/>
        <w:jc w:val="left"/>
        <w:tblInd w:w="0" w:type="dxa"/>
        <w:tblCellMar>
          <w:top w:w="28" w:type="dxa"/>
          <w:left w:w="28" w:type="dxa"/>
          <w:bottom w:w="28" w:type="dxa"/>
          <w:right w:w="28" w:type="dxa"/>
        </w:tblCellMar>
      </w:tblPr>
      <w:tblGrid>
        <w:gridCol w:w="836"/>
        <w:gridCol w:w="736"/>
        <w:gridCol w:w="737"/>
        <w:gridCol w:w="109"/>
        <w:gridCol w:w="109"/>
        <w:gridCol w:w="109"/>
        <w:gridCol w:w="109"/>
        <w:gridCol w:w="109"/>
        <w:gridCol w:w="109"/>
        <w:gridCol w:w="769"/>
        <w:gridCol w:w="769"/>
        <w:gridCol w:w="772"/>
        <w:gridCol w:w="109"/>
        <w:gridCol w:w="109"/>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20"/>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00" w:after="120"/>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p>
    <w:p>
      <w:pPr>
        <w:pStyle w:val="TextBody"/>
        <w:spacing w:lineRule="auto" w:line="288" w:before="100" w:after="120"/>
        <w:rPr>
          <w:rFonts w:ascii="Arial;sans-serif" w:hAnsi="Arial;sans-serif"/>
          <w:b w:val="false"/>
          <w:color w:val="000000"/>
          <w:sz w:val="18"/>
        </w:rPr>
      </w:pPr>
      <w:r>
        <w:rPr>
          <w:rFonts w:ascii="Arial;sans-serif" w:hAnsi="Arial;sans-serif"/>
          <w:b w:val="false"/>
          <w:color w:val="000000"/>
          <w:sz w:val="18"/>
        </w:rPr>
        <w:t>As of May 1, 2023, the registrant had 82,358,909 shares of common stock, $0.001 par value per share,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jc w:val="both"/>
                        <w:rPr/>
                      </w:pPr>
                      <w:r>
                        <w:rPr/>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CellMar>
          <w:top w:w="28" w:type="dxa"/>
          <w:left w:w="28" w:type="dxa"/>
          <w:bottom w:w="28" w:type="dxa"/>
          <w:right w:w="28" w:type="dxa"/>
        </w:tblCellMar>
      </w:tblPr>
      <w:tblGrid>
        <w:gridCol w:w="297"/>
        <w:gridCol w:w="260"/>
        <w:gridCol w:w="262"/>
        <w:gridCol w:w="109"/>
        <w:gridCol w:w="109"/>
        <w:gridCol w:w="109"/>
        <w:gridCol w:w="2836"/>
        <w:gridCol w:w="2836"/>
        <w:gridCol w:w="2843"/>
        <w:gridCol w:w="158"/>
        <w:gridCol w:w="158"/>
        <w:gridCol w:w="228"/>
      </w:tblGrid>
      <w:tr>
        <w:trPr/>
        <w:tc>
          <w:tcPr>
            <w:tcW w:w="29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284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0">
              <w:r>
                <w:rPr>
                  <w:rStyle w:val="InternetLink"/>
                  <w:rFonts w:ascii="Arial;sans-serif" w:hAnsi="Arial;sans-serif"/>
                  <w:b w:val="false"/>
                  <w:color w:val="0000FF"/>
                  <w:sz w:val="20"/>
                  <w:u w:val="single"/>
                </w:rPr>
                <w:t>FINANCIAL INFORMATION</w:t>
              </w:r>
            </w:hyperlink>
          </w:p>
        </w:tc>
        <w:tc>
          <w:tcPr>
            <w:tcW w:w="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c12cc94fe1214f9f84318dd5a2dd31b0_10">
              <w:r>
                <w:rPr>
                  <w:rStyle w:val="InternetLink"/>
                  <w:rFonts w:ascii="Arial;sans-serif" w:hAnsi="Arial;sans-serif"/>
                  <w:b w:val="false"/>
                  <w:strike w:val="false"/>
                  <w:dstrike w:val="false"/>
                  <w:color w:val="000000"/>
                  <w:sz w:val="20"/>
                  <w:u w:val="none"/>
                  <w:effect w:val="none"/>
                </w:rPr>
                <w:t>1</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3">
              <w:r>
                <w:rPr>
                  <w:rStyle w:val="InternetLink"/>
                  <w:rFonts w:ascii="Arial;sans-serif" w:hAnsi="Arial;sans-serif"/>
                  <w:b w:val="false"/>
                  <w:color w:val="0000FF"/>
                  <w:sz w:val="20"/>
                  <w:u w:val="single"/>
                </w:rPr>
                <w:t>Financial Statements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3">
              <w:r>
                <w:rPr>
                  <w:rStyle w:val="InternetLink"/>
                  <w:rFonts w:ascii="Arial;sans-serif" w:hAnsi="Arial;sans-serif"/>
                  <w:b w:val="false"/>
                  <w:strike w:val="false"/>
                  <w:dstrike w:val="false"/>
                  <w:color w:val="000000"/>
                  <w:sz w:val="20"/>
                  <w:u w:val="none"/>
                  <w:effect w:val="none"/>
                </w:rPr>
                <w:t>1</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6">
              <w:r>
                <w:rPr>
                  <w:rStyle w:val="InternetLink"/>
                </w:rPr>
                <w:t xml:space="preserve">Condensed Consolidated Balance Sheets as of </w:t>
              </w:r>
            </w:hyperlink>
            <w:hyperlink w:anchor="ic12cc94fe1214f9f84318dd5a2dd31b0_16">
              <w:r>
                <w:rPr>
                  <w:rStyle w:val="InternetLink"/>
                </w:rPr>
                <w:t>March</w:t>
              </w:r>
            </w:hyperlink>
            <w:hyperlink w:anchor="ic12cc94fe1214f9f84318dd5a2dd31b0_16">
              <w:r>
                <w:rPr>
                  <w:rStyle w:val="InternetLink"/>
                </w:rPr>
                <w:t xml:space="preserve"> 3</w:t>
              </w:r>
            </w:hyperlink>
            <w:hyperlink w:anchor="ic12cc94fe1214f9f84318dd5a2dd31b0_16">
              <w:r>
                <w:rPr>
                  <w:rStyle w:val="InternetLink"/>
                </w:rPr>
                <w:t>1</w:t>
              </w:r>
            </w:hyperlink>
            <w:hyperlink w:anchor="ic12cc94fe1214f9f84318dd5a2dd31b0_16">
              <w:r>
                <w:rPr>
                  <w:rStyle w:val="InternetLink"/>
                </w:rPr>
                <w:t>, 202</w:t>
              </w:r>
            </w:hyperlink>
            <w:hyperlink w:anchor="ic12cc94fe1214f9f84318dd5a2dd31b0_16">
              <w:r>
                <w:rPr>
                  <w:rStyle w:val="InternetLink"/>
                </w:rPr>
                <w:t>3</w:t>
              </w:r>
            </w:hyperlink>
            <w:hyperlink w:anchor="ic12cc94fe1214f9f84318dd5a2dd31b0_16">
              <w:r>
                <w:rPr>
                  <w:rStyle w:val="InternetLink"/>
                </w:rPr>
                <w:t xml:space="preserve"> (Unaudited) and December 31, 202</w:t>
              </w:r>
            </w:hyperlink>
            <w:hyperlink w:anchor="ic12cc94fe1214f9f84318dd5a2dd31b0_16">
              <w:r>
                <w:rPr>
                  <w:rStyle w:val="InternetLink"/>
                </w:rPr>
                <w:t>2</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6">
              <w:r>
                <w:rPr>
                  <w:rStyle w:val="InternetLink"/>
                  <w:rFonts w:ascii="Arial;sans-serif" w:hAnsi="Arial;sans-serif"/>
                  <w:b w:val="false"/>
                  <w:strike w:val="false"/>
                  <w:dstrike w:val="false"/>
                  <w:color w:val="000000"/>
                  <w:sz w:val="20"/>
                  <w:u w:val="none"/>
                  <w:effect w:val="none"/>
                </w:rPr>
                <w:t>1</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9">
              <w:r>
                <w:rPr>
                  <w:rStyle w:val="InternetLink"/>
                </w:rPr>
                <w:t xml:space="preserve">Condensed Consolidated Statements of Operations for the three </w:t>
              </w:r>
            </w:hyperlink>
            <w:hyperlink w:anchor="ic12cc94fe1214f9f84318dd5a2dd31b0_19">
              <w:r>
                <w:rPr>
                  <w:rStyle w:val="InternetLink"/>
                </w:rPr>
                <w:t xml:space="preserve">months ended </w:t>
              </w:r>
            </w:hyperlink>
            <w:hyperlink w:anchor="ic12cc94fe1214f9f84318dd5a2dd31b0_19">
              <w:r>
                <w:rPr>
                  <w:rStyle w:val="InternetLink"/>
                </w:rPr>
                <w:t>March</w:t>
              </w:r>
            </w:hyperlink>
            <w:hyperlink w:anchor="ic12cc94fe1214f9f84318dd5a2dd31b0_19">
              <w:r>
                <w:rPr>
                  <w:rStyle w:val="InternetLink"/>
                </w:rPr>
                <w:t xml:space="preserve"> </w:t>
              </w:r>
            </w:hyperlink>
            <w:hyperlink w:anchor="ic12cc94fe1214f9f84318dd5a2dd31b0_19">
              <w:r>
                <w:rPr>
                  <w:rStyle w:val="InternetLink"/>
                </w:rPr>
                <w:t>3</w:t>
              </w:r>
            </w:hyperlink>
            <w:hyperlink w:anchor="ic12cc94fe1214f9f84318dd5a2dd31b0_19">
              <w:r>
                <w:rPr>
                  <w:rStyle w:val="InternetLink"/>
                </w:rPr>
                <w:t>1</w:t>
              </w:r>
            </w:hyperlink>
            <w:hyperlink w:anchor="ic12cc94fe1214f9f84318dd5a2dd31b0_19">
              <w:r>
                <w:rPr>
                  <w:rStyle w:val="InternetLink"/>
                </w:rPr>
                <w:t>, 202</w:t>
              </w:r>
            </w:hyperlink>
            <w:hyperlink w:anchor="ic12cc94fe1214f9f84318dd5a2dd31b0_19">
              <w:r>
                <w:rPr>
                  <w:rStyle w:val="InternetLink"/>
                </w:rPr>
                <w:t>3</w:t>
              </w:r>
            </w:hyperlink>
            <w:hyperlink w:anchor="ic12cc94fe1214f9f84318dd5a2dd31b0_19">
              <w:r>
                <w:rPr>
                  <w:rStyle w:val="InternetLink"/>
                </w:rPr>
                <w:t xml:space="preserve"> and 202</w:t>
              </w:r>
            </w:hyperlink>
            <w:hyperlink w:anchor="ic12cc94fe1214f9f84318dd5a2dd31b0_19">
              <w:r>
                <w:rPr>
                  <w:rStyle w:val="InternetLink"/>
                </w:rPr>
                <w:t>2</w:t>
              </w:r>
            </w:hyperlink>
            <w:hyperlink w:anchor="ic12cc94fe1214f9f84318dd5a2dd31b0_19">
              <w:r>
                <w:rPr>
                  <w:rStyle w:val="InternetLink"/>
                </w:rPr>
                <w:t xml:space="preserve"> (Unaudited)</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9">
              <w:r>
                <w:rPr>
                  <w:rStyle w:val="InternetLink"/>
                  <w:rFonts w:ascii="Arial;sans-serif" w:hAnsi="Arial;sans-serif"/>
                  <w:b w:val="false"/>
                  <w:strike w:val="false"/>
                  <w:dstrike w:val="false"/>
                  <w:color w:val="000000"/>
                  <w:sz w:val="20"/>
                  <w:u w:val="none"/>
                  <w:effect w:val="none"/>
                </w:rPr>
                <w:t>2</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22">
              <w:r>
                <w:rPr>
                  <w:rStyle w:val="InternetLink"/>
                </w:rPr>
                <w:t xml:space="preserve">Condensed Consolidated Statements of Comprehensive Loss for the three </w:t>
              </w:r>
            </w:hyperlink>
            <w:hyperlink w:anchor="ic12cc94fe1214f9f84318dd5a2dd31b0_22">
              <w:r>
                <w:rPr>
                  <w:rStyle w:val="InternetLink"/>
                </w:rPr>
                <w:t xml:space="preserve">months ended </w:t>
              </w:r>
            </w:hyperlink>
            <w:hyperlink w:anchor="ic12cc94fe1214f9f84318dd5a2dd31b0_22">
              <w:r>
                <w:rPr>
                  <w:rStyle w:val="InternetLink"/>
                </w:rPr>
                <w:t>March</w:t>
              </w:r>
            </w:hyperlink>
            <w:hyperlink w:anchor="ic12cc94fe1214f9f84318dd5a2dd31b0_22">
              <w:r>
                <w:rPr>
                  <w:rStyle w:val="InternetLink"/>
                </w:rPr>
                <w:t xml:space="preserve"> 3</w:t>
              </w:r>
            </w:hyperlink>
            <w:hyperlink w:anchor="ic12cc94fe1214f9f84318dd5a2dd31b0_22">
              <w:r>
                <w:rPr>
                  <w:rStyle w:val="InternetLink"/>
                </w:rPr>
                <w:t>1</w:t>
              </w:r>
            </w:hyperlink>
            <w:hyperlink w:anchor="ic12cc94fe1214f9f84318dd5a2dd31b0_22">
              <w:r>
                <w:rPr>
                  <w:rStyle w:val="InternetLink"/>
                </w:rPr>
                <w:t>, 202</w:t>
              </w:r>
            </w:hyperlink>
            <w:hyperlink w:anchor="ic12cc94fe1214f9f84318dd5a2dd31b0_22">
              <w:r>
                <w:rPr>
                  <w:rStyle w:val="InternetLink"/>
                </w:rPr>
                <w:t>3</w:t>
              </w:r>
            </w:hyperlink>
            <w:hyperlink w:anchor="ic12cc94fe1214f9f84318dd5a2dd31b0_22">
              <w:r>
                <w:rPr>
                  <w:rStyle w:val="InternetLink"/>
                </w:rPr>
                <w:t xml:space="preserve"> and 202</w:t>
              </w:r>
            </w:hyperlink>
            <w:hyperlink w:anchor="ic12cc94fe1214f9f84318dd5a2dd31b0_22">
              <w:r>
                <w:rPr>
                  <w:rStyle w:val="InternetLink"/>
                </w:rPr>
                <w:t>2</w:t>
              </w:r>
            </w:hyperlink>
            <w:hyperlink w:anchor="ic12cc94fe1214f9f84318dd5a2dd31b0_22">
              <w:r>
                <w:rPr>
                  <w:rStyle w:val="InternetLink"/>
                </w:rPr>
                <w:t xml:space="preserve"> (Unaudited)</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22">
              <w:r>
                <w:rPr>
                  <w:rStyle w:val="InternetLink"/>
                  <w:rFonts w:ascii="Arial;sans-serif" w:hAnsi="Arial;sans-serif"/>
                  <w:b w:val="false"/>
                  <w:strike w:val="false"/>
                  <w:dstrike w:val="false"/>
                  <w:color w:val="000000"/>
                  <w:sz w:val="20"/>
                  <w:u w:val="none"/>
                  <w:effect w:val="none"/>
                </w:rPr>
                <w:t>3</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25">
              <w:r>
                <w:rPr>
                  <w:rStyle w:val="InternetLink"/>
                </w:rPr>
                <w:t xml:space="preserve">Condensed Consolidated Statements of Stockholders’ Equity for the three </w:t>
              </w:r>
            </w:hyperlink>
            <w:hyperlink w:anchor="ic12cc94fe1214f9f84318dd5a2dd31b0_25">
              <w:r>
                <w:rPr>
                  <w:rStyle w:val="InternetLink"/>
                </w:rPr>
                <w:t xml:space="preserve">months ended </w:t>
              </w:r>
            </w:hyperlink>
            <w:hyperlink w:anchor="ic12cc94fe1214f9f84318dd5a2dd31b0_25">
              <w:r>
                <w:rPr>
                  <w:rStyle w:val="InternetLink"/>
                </w:rPr>
                <w:t>March</w:t>
              </w:r>
            </w:hyperlink>
            <w:hyperlink w:anchor="ic12cc94fe1214f9f84318dd5a2dd31b0_25">
              <w:r>
                <w:rPr>
                  <w:rStyle w:val="InternetLink"/>
                </w:rPr>
                <w:t xml:space="preserve"> 3</w:t>
              </w:r>
            </w:hyperlink>
            <w:hyperlink w:anchor="ic12cc94fe1214f9f84318dd5a2dd31b0_25">
              <w:r>
                <w:rPr>
                  <w:rStyle w:val="InternetLink"/>
                </w:rPr>
                <w:t>1</w:t>
              </w:r>
            </w:hyperlink>
            <w:hyperlink w:anchor="ic12cc94fe1214f9f84318dd5a2dd31b0_25">
              <w:r>
                <w:rPr>
                  <w:rStyle w:val="InternetLink"/>
                </w:rPr>
                <w:t>, 202</w:t>
              </w:r>
            </w:hyperlink>
            <w:hyperlink w:anchor="ic12cc94fe1214f9f84318dd5a2dd31b0_25">
              <w:r>
                <w:rPr>
                  <w:rStyle w:val="InternetLink"/>
                </w:rPr>
                <w:t>3</w:t>
              </w:r>
            </w:hyperlink>
            <w:hyperlink w:anchor="ic12cc94fe1214f9f84318dd5a2dd31b0_25">
              <w:r>
                <w:rPr>
                  <w:rStyle w:val="InternetLink"/>
                </w:rPr>
                <w:t xml:space="preserve"> and 202</w:t>
              </w:r>
            </w:hyperlink>
            <w:hyperlink w:anchor="ic12cc94fe1214f9f84318dd5a2dd31b0_25">
              <w:r>
                <w:rPr>
                  <w:rStyle w:val="InternetLink"/>
                </w:rPr>
                <w:t>2</w:t>
              </w:r>
            </w:hyperlink>
            <w:hyperlink w:anchor="ic12cc94fe1214f9f84318dd5a2dd31b0_25">
              <w:r>
                <w:rPr>
                  <w:rStyle w:val="InternetLink"/>
                </w:rPr>
                <w:t xml:space="preserve"> (Unaudited)</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25">
              <w:r>
                <w:rPr>
                  <w:rStyle w:val="InternetLink"/>
                  <w:rFonts w:ascii="Arial;sans-serif" w:hAnsi="Arial;sans-serif"/>
                  <w:b w:val="false"/>
                  <w:strike w:val="false"/>
                  <w:dstrike w:val="false"/>
                  <w:color w:val="000000"/>
                  <w:sz w:val="20"/>
                  <w:u w:val="none"/>
                  <w:effect w:val="none"/>
                </w:rPr>
                <w:t>4</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28">
              <w:r>
                <w:rPr>
                  <w:rStyle w:val="InternetLink"/>
                </w:rPr>
                <w:t xml:space="preserve">Condensed Consolidated Statements of Cash Flows for the </w:t>
              </w:r>
            </w:hyperlink>
            <w:hyperlink w:anchor="ic12cc94fe1214f9f84318dd5a2dd31b0_28">
              <w:r>
                <w:rPr>
                  <w:rStyle w:val="InternetLink"/>
                </w:rPr>
                <w:t>three</w:t>
              </w:r>
            </w:hyperlink>
            <w:hyperlink w:anchor="ic12cc94fe1214f9f84318dd5a2dd31b0_28">
              <w:r>
                <w:rPr>
                  <w:rStyle w:val="InternetLink"/>
                </w:rPr>
                <w:t xml:space="preserve"> months ended </w:t>
              </w:r>
            </w:hyperlink>
            <w:hyperlink w:anchor="ic12cc94fe1214f9f84318dd5a2dd31b0_28">
              <w:r>
                <w:rPr>
                  <w:rStyle w:val="InternetLink"/>
                </w:rPr>
                <w:t>March</w:t>
              </w:r>
            </w:hyperlink>
            <w:hyperlink w:anchor="ic12cc94fe1214f9f84318dd5a2dd31b0_28">
              <w:r>
                <w:rPr>
                  <w:rStyle w:val="InternetLink"/>
                </w:rPr>
                <w:t xml:space="preserve"> 3</w:t>
              </w:r>
            </w:hyperlink>
            <w:hyperlink w:anchor="ic12cc94fe1214f9f84318dd5a2dd31b0_28">
              <w:r>
                <w:rPr>
                  <w:rStyle w:val="InternetLink"/>
                </w:rPr>
                <w:t>1</w:t>
              </w:r>
            </w:hyperlink>
            <w:hyperlink w:anchor="ic12cc94fe1214f9f84318dd5a2dd31b0_28">
              <w:r>
                <w:rPr>
                  <w:rStyle w:val="InternetLink"/>
                </w:rPr>
                <w:t>, 202</w:t>
              </w:r>
            </w:hyperlink>
            <w:hyperlink w:anchor="ic12cc94fe1214f9f84318dd5a2dd31b0_28">
              <w:r>
                <w:rPr>
                  <w:rStyle w:val="InternetLink"/>
                </w:rPr>
                <w:t>3</w:t>
              </w:r>
            </w:hyperlink>
            <w:hyperlink w:anchor="ic12cc94fe1214f9f84318dd5a2dd31b0_28">
              <w:r>
                <w:rPr>
                  <w:rStyle w:val="InternetLink"/>
                </w:rPr>
                <w:t xml:space="preserve"> and 202</w:t>
              </w:r>
            </w:hyperlink>
            <w:hyperlink w:anchor="ic12cc94fe1214f9f84318dd5a2dd31b0_28">
              <w:r>
                <w:rPr>
                  <w:rStyle w:val="InternetLink"/>
                </w:rPr>
                <w:t>2</w:t>
              </w:r>
            </w:hyperlink>
            <w:hyperlink w:anchor="ic12cc94fe1214f9f84318dd5a2dd31b0_28">
              <w:r>
                <w:rPr>
                  <w:rStyle w:val="InternetLink"/>
                </w:rPr>
                <w:t xml:space="preserve"> (Unaudited)</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28">
              <w:r>
                <w:rPr>
                  <w:rStyle w:val="InternetLink"/>
                  <w:rFonts w:ascii="Arial;sans-serif" w:hAnsi="Arial;sans-serif"/>
                  <w:b w:val="false"/>
                  <w:strike w:val="false"/>
                  <w:dstrike w:val="false"/>
                  <w:color w:val="000000"/>
                  <w:sz w:val="20"/>
                  <w:u w:val="none"/>
                  <w:effect w:val="none"/>
                </w:rPr>
                <w:t>5</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31">
              <w:r>
                <w:rPr>
                  <w:rStyle w:val="InternetLink"/>
                  <w:rFonts w:ascii="Arial;sans-serif" w:hAnsi="Arial;sans-serif"/>
                  <w:b w:val="false"/>
                  <w:color w:val="0000FF"/>
                  <w:sz w:val="20"/>
                  <w:u w:val="single"/>
                </w:rPr>
                <w:t>Notes to Condensed Consolidated Financial Statements (Unaudited)</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31">
              <w:r>
                <w:rPr>
                  <w:rStyle w:val="InternetLink"/>
                  <w:rFonts w:ascii="Arial;sans-serif" w:hAnsi="Arial;sans-serif"/>
                  <w:b w:val="false"/>
                  <w:strike w:val="false"/>
                  <w:dstrike w:val="false"/>
                  <w:color w:val="000000"/>
                  <w:sz w:val="20"/>
                  <w:u w:val="none"/>
                  <w:effect w:val="none"/>
                </w:rPr>
                <w:t>6</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61">
              <w:r>
                <w:rPr>
                  <w:rStyle w:val="InternetLink"/>
                  <w:rFonts w:ascii="Arial;sans-serif" w:hAnsi="Arial;sans-serif"/>
                  <w:b w:val="false"/>
                  <w:color w:val="0000FF"/>
                  <w:sz w:val="20"/>
                  <w:u w:val="single"/>
                </w:rPr>
                <w:t>Management’s Discussion and Analysis of Financial Condition and Results of Operations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61">
              <w:r>
                <w:rPr>
                  <w:rStyle w:val="InternetLink"/>
                  <w:rFonts w:ascii="Arial;sans-serif" w:hAnsi="Arial;sans-serif"/>
                  <w:b w:val="false"/>
                  <w:strike w:val="false"/>
                  <w:dstrike w:val="false"/>
                  <w:color w:val="000000"/>
                  <w:sz w:val="20"/>
                  <w:u w:val="none"/>
                  <w:effect w:val="none"/>
                </w:rPr>
                <w:t>20</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88">
              <w:r>
                <w:rPr>
                  <w:rStyle w:val="InternetLink"/>
                  <w:rFonts w:ascii="Arial;sans-serif" w:hAnsi="Arial;sans-serif"/>
                  <w:b w:val="false"/>
                  <w:color w:val="0000FF"/>
                  <w:sz w:val="20"/>
                  <w:u w:val="single"/>
                </w:rPr>
                <w:t>Quantitative and Qualitative Disclosures About Market Risk</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88">
              <w:r>
                <w:rPr>
                  <w:rStyle w:val="InternetLink"/>
                  <w:rFonts w:ascii="Arial;sans-serif" w:hAnsi="Arial;sans-serif"/>
                  <w:b w:val="false"/>
                  <w:strike w:val="false"/>
                  <w:dstrike w:val="false"/>
                  <w:color w:val="000000"/>
                  <w:sz w:val="20"/>
                  <w:u w:val="none"/>
                  <w:effect w:val="none"/>
                </w:rPr>
                <w:t>32</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91">
              <w:r>
                <w:rPr>
                  <w:rStyle w:val="InternetLink"/>
                  <w:rFonts w:ascii="Arial;sans-serif" w:hAnsi="Arial;sans-serif"/>
                  <w:b w:val="false"/>
                  <w:color w:val="0000FF"/>
                  <w:sz w:val="20"/>
                  <w:u w:val="single"/>
                </w:rPr>
                <w:t>Controls and Procedures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91">
              <w:r>
                <w:rPr>
                  <w:rStyle w:val="InternetLink"/>
                  <w:rFonts w:ascii="Arial;sans-serif" w:hAnsi="Arial;sans-serif"/>
                  <w:b w:val="false"/>
                  <w:strike w:val="false"/>
                  <w:dstrike w:val="false"/>
                  <w:color w:val="000000"/>
                  <w:sz w:val="20"/>
                  <w:u w:val="none"/>
                  <w:effect w:val="none"/>
                </w:rPr>
                <w:t>32</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94">
              <w:r>
                <w:rPr>
                  <w:rStyle w:val="InternetLink"/>
                  <w:rFonts w:ascii="Arial;sans-serif" w:hAnsi="Arial;sans-serif"/>
                  <w:b w:val="false"/>
                  <w:color w:val="0000FF"/>
                  <w:sz w:val="20"/>
                  <w:u w:val="single"/>
                </w:rPr>
                <w:t>OTHER INFORMATION</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94">
              <w:r>
                <w:rPr>
                  <w:rStyle w:val="InternetLink"/>
                  <w:rFonts w:ascii="Arial;sans-serif" w:hAnsi="Arial;sans-serif"/>
                  <w:b w:val="false"/>
                  <w:strike w:val="false"/>
                  <w:dstrike w:val="false"/>
                  <w:color w:val="000000"/>
                  <w:sz w:val="20"/>
                  <w:u w:val="none"/>
                  <w:effect w:val="none"/>
                </w:rPr>
                <w:t>34</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97">
              <w:r>
                <w:rPr>
                  <w:rStyle w:val="InternetLink"/>
                  <w:rFonts w:ascii="Arial;sans-serif" w:hAnsi="Arial;sans-serif"/>
                  <w:b w:val="false"/>
                  <w:color w:val="0000FF"/>
                  <w:sz w:val="20"/>
                  <w:u w:val="single"/>
                </w:rPr>
                <w:t>Legal Proceedings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97">
              <w:r>
                <w:rPr>
                  <w:rStyle w:val="InternetLink"/>
                  <w:rFonts w:ascii="Arial;sans-serif" w:hAnsi="Arial;sans-serif"/>
                  <w:b w:val="false"/>
                  <w:strike w:val="false"/>
                  <w:dstrike w:val="false"/>
                  <w:color w:val="000000"/>
                  <w:sz w:val="20"/>
                  <w:u w:val="none"/>
                  <w:effect w:val="none"/>
                </w:rPr>
                <w:t>34</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00">
              <w:r>
                <w:rPr>
                  <w:rStyle w:val="InternetLink"/>
                  <w:rFonts w:ascii="Arial;sans-serif" w:hAnsi="Arial;sans-serif"/>
                  <w:b w:val="false"/>
                  <w:color w:val="0000FF"/>
                  <w:sz w:val="20"/>
                  <w:u w:val="single"/>
                </w:rPr>
                <w:t>Risk Factors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00">
              <w:r>
                <w:rPr>
                  <w:rStyle w:val="InternetLink"/>
                  <w:rFonts w:ascii="Arial;sans-serif" w:hAnsi="Arial;sans-serif"/>
                  <w:b w:val="false"/>
                  <w:strike w:val="false"/>
                  <w:dstrike w:val="false"/>
                  <w:color w:val="000000"/>
                  <w:sz w:val="20"/>
                  <w:u w:val="none"/>
                  <w:effect w:val="none"/>
                </w:rPr>
                <w:t>34</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03">
              <w:r>
                <w:rPr>
                  <w:rStyle w:val="InternetLink"/>
                  <w:rFonts w:ascii="Arial;sans-serif" w:hAnsi="Arial;sans-serif"/>
                  <w:b w:val="false"/>
                  <w:color w:val="0000FF"/>
                  <w:sz w:val="20"/>
                  <w:u w:val="single"/>
                </w:rPr>
                <w:t>Unregistered Sales of Equity Securities and Use of Proceeds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03">
              <w:r>
                <w:rPr>
                  <w:rStyle w:val="InternetLink"/>
                  <w:rFonts w:ascii="Arial;sans-serif" w:hAnsi="Arial;sans-serif"/>
                  <w:b w:val="false"/>
                  <w:strike w:val="false"/>
                  <w:dstrike w:val="false"/>
                  <w:color w:val="000000"/>
                  <w:sz w:val="20"/>
                  <w:u w:val="none"/>
                  <w:effect w:val="none"/>
                </w:rPr>
                <w:t>76</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06">
              <w:r>
                <w:rPr>
                  <w:rStyle w:val="InternetLink"/>
                  <w:rFonts w:ascii="Arial;sans-serif" w:hAnsi="Arial;sans-serif"/>
                  <w:b w:val="false"/>
                  <w:color w:val="0000FF"/>
                  <w:sz w:val="20"/>
                  <w:u w:val="single"/>
                </w:rPr>
                <w:t>Defaults Upon Senior Securities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06">
              <w:r>
                <w:rPr>
                  <w:rStyle w:val="InternetLink"/>
                  <w:rFonts w:ascii="Arial;sans-serif" w:hAnsi="Arial;sans-serif"/>
                  <w:b w:val="false"/>
                  <w:strike w:val="false"/>
                  <w:dstrike w:val="false"/>
                  <w:color w:val="000000"/>
                  <w:sz w:val="20"/>
                  <w:u w:val="none"/>
                  <w:effect w:val="none"/>
                </w:rPr>
                <w:t>76</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09">
              <w:r>
                <w:rPr>
                  <w:rStyle w:val="InternetLink"/>
                  <w:rFonts w:ascii="Arial;sans-serif" w:hAnsi="Arial;sans-serif"/>
                  <w:b w:val="false"/>
                  <w:color w:val="0000FF"/>
                  <w:sz w:val="20"/>
                  <w:u w:val="single"/>
                </w:rPr>
                <w:t>Mine Safety Disclosures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09">
              <w:r>
                <w:rPr>
                  <w:rStyle w:val="InternetLink"/>
                  <w:rFonts w:ascii="Arial;sans-serif" w:hAnsi="Arial;sans-serif"/>
                  <w:b w:val="false"/>
                  <w:strike w:val="false"/>
                  <w:dstrike w:val="false"/>
                  <w:color w:val="000000"/>
                  <w:sz w:val="20"/>
                  <w:u w:val="none"/>
                  <w:effect w:val="none"/>
                </w:rPr>
                <w:t>76</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12">
              <w:r>
                <w:rPr>
                  <w:rStyle w:val="InternetLink"/>
                  <w:rFonts w:ascii="Arial;sans-serif" w:hAnsi="Arial;sans-serif"/>
                  <w:b w:val="false"/>
                  <w:color w:val="0000FF"/>
                  <w:sz w:val="20"/>
                  <w:u w:val="single"/>
                </w:rPr>
                <w:t>Other Information</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12">
              <w:r>
                <w:rPr>
                  <w:rStyle w:val="InternetLink"/>
                  <w:rFonts w:ascii="Arial;sans-serif" w:hAnsi="Arial;sans-serif"/>
                  <w:b w:val="false"/>
                  <w:strike w:val="false"/>
                  <w:dstrike w:val="false"/>
                  <w:color w:val="000000"/>
                  <w:sz w:val="20"/>
                  <w:u w:val="none"/>
                  <w:effect w:val="none"/>
                </w:rPr>
                <w:t>77</w:t>
              </w:r>
            </w:hyperlink>
          </w:p>
        </w:tc>
      </w:tr>
      <w:tr>
        <w:trPr/>
        <w:tc>
          <w:tcPr>
            <w:tcW w:w="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15">
              <w:r>
                <w:rPr>
                  <w:rStyle w:val="InternetLink"/>
                  <w:rFonts w:ascii="Arial;sans-serif" w:hAnsi="Arial;sans-serif"/>
                  <w:b w:val="false"/>
                  <w:color w:val="0000FF"/>
                  <w:sz w:val="20"/>
                  <w:u w:val="single"/>
                </w:rPr>
                <w:t>Exhibits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15">
              <w:r>
                <w:rPr>
                  <w:rStyle w:val="InternetLink"/>
                  <w:rFonts w:ascii="Arial;sans-serif" w:hAnsi="Arial;sans-serif"/>
                  <w:b w:val="false"/>
                  <w:strike w:val="false"/>
                  <w:dstrike w:val="false"/>
                  <w:color w:val="000000"/>
                  <w:sz w:val="20"/>
                  <w:u w:val="none"/>
                  <w:effect w:val="none"/>
                </w:rPr>
                <w:t>78</w:t>
              </w:r>
            </w:hyperlink>
          </w:p>
        </w:tc>
      </w:tr>
      <w:tr>
        <w:trPr/>
        <w:tc>
          <w:tcPr>
            <w:tcW w:w="9661"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12cc94fe1214f9f84318dd5a2dd31b0_118">
              <w:r>
                <w:rPr>
                  <w:rStyle w:val="InternetLink"/>
                  <w:rFonts w:ascii="Arial;sans-serif" w:hAnsi="Arial;sans-serif"/>
                  <w:b w:val="false"/>
                  <w:color w:val="0000FF"/>
                  <w:sz w:val="20"/>
                  <w:u w:val="single"/>
                </w:rPr>
                <w:t>Signatures</w:t>
              </w:r>
            </w:hyperlink>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12cc94fe1214f9f84318dd5a2dd31b0_118">
              <w:r>
                <w:rPr>
                  <w:rStyle w:val="InternetLink"/>
                  <w:rFonts w:ascii="Arial;sans-serif" w:hAnsi="Arial;sans-serif"/>
                  <w:b w:val="false"/>
                  <w:strike w:val="false"/>
                  <w:dstrike w:val="false"/>
                  <w:color w:val="000000"/>
                  <w:sz w:val="20"/>
                  <w:u w:val="none"/>
                  <w:effect w:val="none"/>
                </w:rPr>
                <w:t>79</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250"/>
                <wp:effectExtent l="0" t="0" r="0" b="0"/>
                <wp:wrapNone/>
                <wp:docPr id="2" name="Frame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i</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40" w:after="120"/>
        <w:jc w:val="both"/>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866"/>
        <w:gridCol w:w="2288"/>
        <w:gridCol w:w="2269"/>
        <w:gridCol w:w="211"/>
        <w:gridCol w:w="856"/>
        <w:gridCol w:w="109"/>
        <w:gridCol w:w="109"/>
        <w:gridCol w:w="109"/>
        <w:gridCol w:w="109"/>
        <w:gridCol w:w="220"/>
        <w:gridCol w:w="895"/>
        <w:gridCol w:w="164"/>
      </w:tblGrid>
      <w:tr>
        <w:trPr/>
        <w:tc>
          <w:tcPr>
            <w:tcW w:w="2866"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2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marketable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288,859 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6)</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$0.001 par value; 10,000 shares authorized; no shares issued or outstanding as of March 31, 2023 and December 31, 2022,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$0.001 par value; 400,000 shares authorized; 82,056 and 81,885 shares issued and outstanding as of March 31, 2023 and December 31, 2022,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841,413 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(629,280)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(581,633)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pStyle w:val="TextBody"/>
        <w:spacing w:lineRule="auto" w:line="288" w:before="240" w:after="120"/>
        <w:jc w:val="both"/>
        <w:rPr>
          <w:rFonts w:ascii="Arial;sans-serif" w:hAnsi="Arial;sans-serif"/>
          <w:b w:val="false"/>
          <w:color w:val="000000"/>
          <w:sz w:val="20"/>
        </w:rPr>
      </w:pPr>
      <w:r>
        <w:rPr>
          <w:rFonts w:ascii="Arial;sans-serif" w:hAnsi="Arial;sans-serif"/>
          <w:b w:val="false"/>
          <w:color w:val="000000"/>
          <w:sz w:val="20"/>
        </w:rPr>
        <w:t>*The condensed consolidated balance sheet as of December 31, 2022 has been derived from the audited financial statements as of that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250"/>
                <wp:effectExtent l="0" t="0" r="0" b="0"/>
                <wp:wrapNone/>
                <wp:docPr id="3" name="Frame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120" w:after="120"/>
        <w:ind w:left="0" w:right="0" w:hanging="36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120" w:after="120"/>
        <w:jc w:val="center"/>
        <w:rPr/>
      </w:pPr>
      <w:r>
        <w:rPr/>
      </w:r>
    </w:p>
    <w:p>
      <w:pPr>
        <w:pStyle w:val="TextBody"/>
        <w:spacing w:before="120" w:after="120"/>
        <w:jc w:val="center"/>
        <w:rPr/>
      </w:pPr>
      <w:r>
        <w:rPr/>
      </w:r>
    </w:p>
    <w:p>
      <w:pPr>
        <w:pStyle w:val="TextBody"/>
        <w:spacing w:before="120" w:after="120"/>
        <w:jc w:val="center"/>
        <w:rPr/>
      </w:pPr>
      <w:r>
        <w:rPr/>
      </w:r>
    </w:p>
    <w:tbl>
      <w:tblPr>
        <w:tblW w:w="10120" w:type="dxa"/>
        <w:jc w:val="left"/>
        <w:tblInd w:w="0" w:type="dxa"/>
        <w:tblCellMar>
          <w:top w:w="28" w:type="dxa"/>
          <w:left w:w="28" w:type="dxa"/>
          <w:bottom w:w="28" w:type="dxa"/>
          <w:right w:w="28" w:type="dxa"/>
        </w:tblCellMar>
      </w:tblPr>
      <w:tblGrid>
        <w:gridCol w:w="2555"/>
        <w:gridCol w:w="2243"/>
        <w:gridCol w:w="2252"/>
        <w:gridCol w:w="211"/>
        <w:gridCol w:w="811"/>
        <w:gridCol w:w="109"/>
        <w:gridCol w:w="109"/>
        <w:gridCol w:w="109"/>
        <w:gridCol w:w="109"/>
        <w:gridCol w:w="211"/>
        <w:gridCol w:w="811"/>
        <w:gridCol w:w="109"/>
        <w:gridCol w:w="109"/>
        <w:gridCol w:w="109"/>
        <w:gridCol w:w="109"/>
        <w:gridCol w:w="154"/>
      </w:tblGrid>
      <w:tr>
        <w:trPr/>
        <w:tc>
          <w:tcPr>
            <w:tcW w:w="2555"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40,857 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(50,194)</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0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(47,647)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w:t>
            </w:r>
          </w:p>
        </w:tc>
        <w:tc>
          <w:tcPr>
            <w:tcW w:w="10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0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to compute net loss per share, basic and diluted</w:t>
            </w:r>
          </w:p>
        </w:tc>
        <w:tc>
          <w:tcPr>
            <w:tcW w:w="1022"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82,008 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78,023 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40" w:after="120"/>
        <w:jc w:val="center"/>
        <w:rPr/>
      </w:pPr>
      <w:r>
        <w:rPr/>
      </w:r>
    </w:p>
    <w:p>
      <w:pPr>
        <w:pStyle w:val="TextBody"/>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120" w:after="120"/>
        <w:ind w:left="0" w:right="0" w:hanging="36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120" w:after="120"/>
        <w:jc w:val="center"/>
        <w:rPr/>
      </w:pPr>
      <w:r>
        <w:rPr/>
      </w:r>
    </w:p>
    <w:p>
      <w:pPr>
        <w:pStyle w:val="TextBody"/>
        <w:spacing w:before="120" w:after="120"/>
        <w:jc w:val="center"/>
        <w:rPr/>
      </w:pPr>
      <w:r>
        <w:rPr/>
      </w:r>
    </w:p>
    <w:p>
      <w:pPr>
        <w:pStyle w:val="TextBody"/>
        <w:spacing w:before="120" w:after="120"/>
        <w:jc w:val="center"/>
        <w:rPr/>
      </w:pPr>
      <w:r>
        <w:rPr/>
      </w:r>
    </w:p>
    <w:p>
      <w:pPr>
        <w:pStyle w:val="TextBody"/>
        <w:spacing w:before="120" w:after="120"/>
        <w:jc w:val="center"/>
        <w:rPr/>
      </w:pPr>
      <w:r>
        <w:rPr/>
      </w:r>
    </w:p>
    <w:tbl>
      <w:tblPr>
        <w:tblW w:w="9114" w:type="dxa"/>
        <w:jc w:val="left"/>
        <w:tblInd w:w="0" w:type="dxa"/>
        <w:tblCellMar>
          <w:top w:w="28" w:type="dxa"/>
          <w:left w:w="28" w:type="dxa"/>
          <w:bottom w:w="28" w:type="dxa"/>
          <w:right w:w="28" w:type="dxa"/>
        </w:tblCellMar>
      </w:tblPr>
      <w:tblGrid>
        <w:gridCol w:w="2185"/>
        <w:gridCol w:w="1921"/>
        <w:gridCol w:w="1938"/>
        <w:gridCol w:w="211"/>
        <w:gridCol w:w="811"/>
        <w:gridCol w:w="109"/>
        <w:gridCol w:w="109"/>
        <w:gridCol w:w="109"/>
        <w:gridCol w:w="109"/>
        <w:gridCol w:w="211"/>
        <w:gridCol w:w="811"/>
        <w:gridCol w:w="109"/>
        <w:gridCol w:w="109"/>
        <w:gridCol w:w="109"/>
        <w:gridCol w:w="109"/>
        <w:gridCol w:w="154"/>
      </w:tblGrid>
      <w:tr>
        <w:trPr/>
        <w:tc>
          <w:tcPr>
            <w:tcW w:w="2185"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(47,647)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gain (loss), net of tax:</w:t>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 (loss) on available-for-sale marketable securities</w:t>
            </w:r>
          </w:p>
        </w:tc>
        <w:tc>
          <w:tcPr>
            <w:tcW w:w="10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loss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(47,442)</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(32,998)</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40" w:after="120"/>
        <w:jc w:val="center"/>
        <w:rPr/>
      </w:pPr>
      <w:r>
        <w:rPr/>
      </w:r>
    </w:p>
    <w:p>
      <w:pPr>
        <w:pStyle w:val="TextBody"/>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120" w:after="120"/>
        <w:ind w:left="0" w:right="0" w:hanging="36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100" w:after="120"/>
        <w:jc w:val="center"/>
        <w:rPr/>
      </w:pPr>
      <w:r>
        <w:rPr/>
      </w:r>
    </w:p>
    <w:p>
      <w:pPr>
        <w:pStyle w:val="TextBody"/>
        <w:spacing w:before="100" w:after="120"/>
        <w:jc w:val="both"/>
        <w:rPr/>
      </w:pPr>
      <w:r>
        <w:rPr/>
      </w:r>
    </w:p>
    <w:tbl>
      <w:tblPr>
        <w:tblW w:w="10205" w:type="dxa"/>
        <w:jc w:val="left"/>
        <w:tblInd w:w="0" w:type="dxa"/>
        <w:tblCellMar>
          <w:top w:w="28" w:type="dxa"/>
          <w:left w:w="28" w:type="dxa"/>
          <w:bottom w:w="28" w:type="dxa"/>
          <w:right w:w="28" w:type="dxa"/>
        </w:tblCellMar>
      </w:tblPr>
      <w:tblGrid>
        <w:gridCol w:w="981"/>
        <w:gridCol w:w="647"/>
        <w:gridCol w:w="651"/>
        <w:gridCol w:w="323"/>
        <w:gridCol w:w="323"/>
        <w:gridCol w:w="186"/>
        <w:gridCol w:w="109"/>
        <w:gridCol w:w="109"/>
        <w:gridCol w:w="109"/>
        <w:gridCol w:w="196"/>
        <w:gridCol w:w="331"/>
        <w:gridCol w:w="109"/>
        <w:gridCol w:w="109"/>
        <w:gridCol w:w="109"/>
        <w:gridCol w:w="109"/>
        <w:gridCol w:w="196"/>
        <w:gridCol w:w="738"/>
        <w:gridCol w:w="109"/>
        <w:gridCol w:w="109"/>
        <w:gridCol w:w="109"/>
        <w:gridCol w:w="109"/>
        <w:gridCol w:w="369"/>
        <w:gridCol w:w="823"/>
        <w:gridCol w:w="208"/>
        <w:gridCol w:w="109"/>
        <w:gridCol w:w="109"/>
        <w:gridCol w:w="109"/>
        <w:gridCol w:w="211"/>
        <w:gridCol w:w="836"/>
        <w:gridCol w:w="117"/>
        <w:gridCol w:w="109"/>
        <w:gridCol w:w="109"/>
        <w:gridCol w:w="109"/>
        <w:gridCol w:w="218"/>
        <w:gridCol w:w="820"/>
        <w:gridCol w:w="178"/>
      </w:tblGrid>
      <w:tr>
        <w:trPr/>
        <w:tc>
          <w:tcPr>
            <w:tcW w:w="981"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227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Other</w:t>
              <w:br/>
              <w:t>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 Equity</w:t>
            </w:r>
          </w:p>
        </w:tc>
      </w:tr>
      <w:tr>
        <w:trPr/>
        <w:tc>
          <w:tcPr>
            <w:tcW w:w="2279" w:type="dxa"/>
            <w:gridSpan w:val="3"/>
            <w:vMerge w:val="continue"/>
            <w:tcBorders/>
            <w:shd w:fill="auto" w:val="clear"/>
            <w:tcMar>
              <w:top w:w="0" w:type="dxa"/>
              <w:left w:w="0" w:type="dxa"/>
              <w:bottom w:w="0" w:type="dxa"/>
              <w:right w:w="0" w:type="dxa"/>
            </w:tcMar>
            <w:vAlign w:val="center"/>
          </w:tcPr>
          <w:p>
            <w:pPr>
              <w:pStyle w:val="Normal"/>
              <w:rPr/>
            </w:pPr>
            <w:r>
              <w:rPr/>
            </w:r>
          </w:p>
        </w:tc>
        <w:tc>
          <w:tcPr>
            <w:tcW w:w="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259,560 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gain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(47,647)</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82,056 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(629,280)</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220,934 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120"/>
        <w:jc w:val="both"/>
        <w:rPr/>
      </w:pPr>
      <w:r>
        <w:rPr/>
      </w:r>
    </w:p>
    <w:p>
      <w:pPr>
        <w:pStyle w:val="TextBody"/>
        <w:spacing w:before="100" w:after="120"/>
        <w:jc w:val="both"/>
        <w:rPr/>
      </w:pPr>
      <w:r>
        <w:rPr/>
      </w:r>
    </w:p>
    <w:tbl>
      <w:tblPr>
        <w:tblW w:w="10205" w:type="dxa"/>
        <w:jc w:val="left"/>
        <w:tblInd w:w="0" w:type="dxa"/>
        <w:tblCellMar>
          <w:top w:w="28" w:type="dxa"/>
          <w:left w:w="28" w:type="dxa"/>
          <w:bottom w:w="28" w:type="dxa"/>
          <w:right w:w="28" w:type="dxa"/>
        </w:tblCellMar>
      </w:tblPr>
      <w:tblGrid>
        <w:gridCol w:w="1023"/>
        <w:gridCol w:w="698"/>
        <w:gridCol w:w="703"/>
        <w:gridCol w:w="323"/>
        <w:gridCol w:w="323"/>
        <w:gridCol w:w="186"/>
        <w:gridCol w:w="109"/>
        <w:gridCol w:w="109"/>
        <w:gridCol w:w="109"/>
        <w:gridCol w:w="196"/>
        <w:gridCol w:w="331"/>
        <w:gridCol w:w="109"/>
        <w:gridCol w:w="109"/>
        <w:gridCol w:w="109"/>
        <w:gridCol w:w="109"/>
        <w:gridCol w:w="196"/>
        <w:gridCol w:w="738"/>
        <w:gridCol w:w="109"/>
        <w:gridCol w:w="109"/>
        <w:gridCol w:w="109"/>
        <w:gridCol w:w="109"/>
        <w:gridCol w:w="322"/>
        <w:gridCol w:w="718"/>
        <w:gridCol w:w="181"/>
        <w:gridCol w:w="109"/>
        <w:gridCol w:w="109"/>
        <w:gridCol w:w="109"/>
        <w:gridCol w:w="214"/>
        <w:gridCol w:w="848"/>
        <w:gridCol w:w="118"/>
        <w:gridCol w:w="109"/>
        <w:gridCol w:w="109"/>
        <w:gridCol w:w="109"/>
        <w:gridCol w:w="221"/>
        <w:gridCol w:w="832"/>
        <w:gridCol w:w="181"/>
      </w:tblGrid>
      <w:tr>
        <w:trPr/>
        <w:tc>
          <w:tcPr>
            <w:tcW w:w="1023"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242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 Equity</w:t>
            </w:r>
          </w:p>
        </w:tc>
      </w:tr>
      <w:tr>
        <w:trPr/>
        <w:tc>
          <w:tcPr>
            <w:tcW w:w="2424" w:type="dxa"/>
            <w:gridSpan w:val="3"/>
            <w:vMerge w:val="continue"/>
            <w:tcBorders/>
            <w:shd w:fill="auto" w:val="clear"/>
            <w:tcMar>
              <w:top w:w="0" w:type="dxa"/>
              <w:left w:w="0" w:type="dxa"/>
              <w:bottom w:w="0" w:type="dxa"/>
              <w:right w:w="0" w:type="dxa"/>
            </w:tcMar>
            <w:vAlign w:val="center"/>
          </w:tcPr>
          <w:p>
            <w:pPr>
              <w:pStyle w:val="Normal"/>
              <w:rPr/>
            </w:pPr>
            <w:r>
              <w:rPr/>
            </w:r>
          </w:p>
        </w:tc>
        <w:tc>
          <w:tcPr>
            <w:tcW w:w="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(418,966)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335,647 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(32,450)</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78,087 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(451,416)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311,137 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center"/>
        <w:rPr/>
      </w:pPr>
      <w:r>
        <w:rPr/>
      </w:r>
    </w:p>
    <w:p>
      <w:pPr>
        <w:pStyle w:val="TextBody"/>
        <w:spacing w:before="120" w:after="120"/>
        <w:jc w:val="center"/>
        <w:rPr/>
      </w:pPr>
      <w:r>
        <w:rPr/>
      </w:r>
    </w:p>
    <w:p>
      <w:pPr>
        <w:pStyle w:val="TextBody"/>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pStyle w:val="TextBody"/>
        <w:spacing w:before="12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120" w:after="120"/>
        <w:ind w:left="0" w:right="0" w:hanging="36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578" w:type="dxa"/>
        <w:jc w:val="left"/>
        <w:tblInd w:w="0" w:type="dxa"/>
        <w:tblCellMar>
          <w:top w:w="28" w:type="dxa"/>
          <w:left w:w="28" w:type="dxa"/>
          <w:bottom w:w="28" w:type="dxa"/>
          <w:right w:w="28" w:type="dxa"/>
        </w:tblCellMar>
      </w:tblPr>
      <w:tblGrid>
        <w:gridCol w:w="2499"/>
        <w:gridCol w:w="2197"/>
        <w:gridCol w:w="2203"/>
        <w:gridCol w:w="211"/>
        <w:gridCol w:w="811"/>
        <w:gridCol w:w="109"/>
        <w:gridCol w:w="109"/>
        <w:gridCol w:w="109"/>
        <w:gridCol w:w="109"/>
        <w:gridCol w:w="211"/>
        <w:gridCol w:w="856"/>
        <w:gridCol w:w="154"/>
      </w:tblGrid>
      <w:tr>
        <w:trPr/>
        <w:tc>
          <w:tcPr>
            <w:tcW w:w="2499"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6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of discount) amortization of premium on marketable securities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expenses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liabilities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marketable securities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maturities of marketable securities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disclosures of non-cash investing and financing activities:</w:t>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purchases not yet paid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899"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NGM BIOPHARMACEUTICALS,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NGM Biopharmaceuticals, Inc. and its wholly-owned subsidiary, NGM Biopharmaceuticals Australia Pty Ltd., or NGM Australia, collectively referred to as the Company, is a biopharmaceutical company focused on discovering and developing novel, potentially life-changing medicines based on scientific understanding of key biological pathways underlying grievous diseases with critical unmet or underserved patient need. The Company's portfolio of product candidates range from early discovery to Phase 2b development and includes four programs in active ongoing clinical development. The Company has additional programs that are in various stages of development ranging from functional validation to preclinical development.</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was incorporated in Delaware in December 2007 and commenced operations in 2008. The Company's headquarters are located at 333 Oyster Point Blvd., South San Francisco, California 94080.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2. Summary of Significant Accounting Policies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Basis of Presentation and Principles of Consolidation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U.S. generally accepted accounting principles, or U.S. GAAP, and Regulation S-X for interim consolidated financial information. These unaudited condensed consolidated financial statements should be read in conjunction with the audited consolidated financial statements and notes for the year ended December 31, 2022 included in the Company’s Annual Report on Form 10-K for the year ended December 31, 2022 filed with the U.S Securities and Exchange Commission, or SEC, on February 28, 2023.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ending December 31, 2023, or for any subsequent interim period.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unaudited condensed consolidated financial statements include the consolidated accounts of NGM Biopharmaceuticals, Inc. and its wholly-owned foreign subsidiary, NGM Australia. All intercompany balances and transactions have been eliminated upon consolidation.</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Use of Estimates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 </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Sources and Uses of Liquidity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the Company has incurred net losses and negative cash flow from operations. During the three months ended March 31, 2023 and 2022, net losses were $47.6 million and $32.5 million, respectively. As of March 31, 2023, the Company had an accumulated deficit of $629.3 million. The Company expects its accumulated deficit will continue to increase over time and does not expect to experience positive cash flows from operations in the near future.</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March 31, 2023, the Company had $231.0 million of cash, cash equivalents and short-term marketable securities.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ind w:left="0" w:right="0" w:firstLine="720"/>
        <w:jc w:val="both"/>
        <w:rPr/>
      </w:pPr>
      <w:r>
        <w:rPr>
          <w:rFonts w:ascii="Arial;sans-serif" w:hAnsi="Arial;sans-serif"/>
          <w:b w:val="false"/>
          <w:color w:val="000000"/>
          <w:sz w:val="20"/>
        </w:rPr>
        <w:t>In June 2020, the Company entered into an Open Market Sale Agreement</w:t>
      </w:r>
      <w:r>
        <w:rPr>
          <w:rFonts w:ascii="Arial;sans-serif" w:hAnsi="Arial;sans-serif"/>
          <w:b w:val="false"/>
          <w:color w:val="000000"/>
          <w:sz w:val="13"/>
        </w:rPr>
        <w:t>SM</w:t>
      </w:r>
      <w:r>
        <w:rPr>
          <w:rFonts w:ascii="Arial;sans-serif" w:hAnsi="Arial;sans-serif"/>
          <w:b w:val="false"/>
          <w:color w:val="000000"/>
          <w:sz w:val="20"/>
        </w:rPr>
        <w:t>, or the Sales Agreement, with Jefferies LLC. As of March 31, 2023, $76.2 million of the Company's common stock remained available to be sold under the Sales Agreement, subject to conditions specified in the Sales Agreement.</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believes its existing cash, cash equivalents and short-term marketable securities will be sufficient to fund its operations for a period of at least one year from the issuance of these condensed consolidated financial statements.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To fully implement the Company’s business plan and fund its operations, the Company needs to raise significant additional capital through public or private equity or debt offerings (which may include potential net proceeds from future sales, if any, under the Sales Agreement), collaboration, out licensing, partnership or other business development arrangements, or a combination of the foregoing. None may be possible and, as a result, the Company may need to significantly delay, scale back or discontinue development of or abandon some or all of its product candidates, or scale back or discontinue the Company's discovery research efforts, any of which could have a material adverse effect on the Company's business, operating results and prospects, or the Company may be required to cease operations altogether.</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carrying amounts of cash and cash equivalents, the related party receivable from collaboration and other current assets and liabilities approximate their respective fair values due to their short-term nature.</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Cash and Cash Equivalents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banks it believes are highly creditworthy in amounts that may at times exceed federally insured limits. As of March 31, 2023 and December 31, 2022, cash and cash equivalents consisted of bank deposits and investments in money market funds. </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Marketable Securities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March 31, 2023, the Company did not record any impairment related to other-than-temporary declines in the fair value of securities.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Restricted Cash</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restricted cash balances represent collateral required under the Company’s facility lease agreements. Collateral that will not be returned to the Company within twelve months from the date of these condensed consolidated financial statements is classified as a non-current asset.</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Concentration of Credit and Other Risks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cash equivalents and marketable securities from the Company’s available-for-sale and marketable securities portfolio potentially subject the Company to concentrations of credit risk. The Company is invested in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money market funds and marketable securities through custodial relationships with major United States, or U.S., banks. Under its investment policy, the Company limits amounts invested in such securities by credit rating, maturity, industry group, investment type and issuer, except for securities issued by the U.S. government.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reference to the recent closure of Silicon Valley Bank, or SVB, which is now a division of First Citizens Bank, as of March 31, 2023, the Company had approximately $6.0 million in deposits and other accounts with SVB, consisting of $4.0 million in letters of credit related to the Company's facilities leases that were classified as restricted cash on the Company's balance sheet and approximately $1.9 million held in a sweep account used to purchase shares in money-market funds through SVB. The Company incurred no losses as a result of the closure of SVB.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Related party receivables from collaboration and partnering arrangements are typically unsecured. Accordingly, the Company may be exposed to credit risk generally associated with its current amended and restated research collaboration, product development and license agreement, or the Amended Collaboration Agreement, with Merck Sharp &amp; Dohme LLC, or Merck, and any future collaboration or partnering arrangements with other potential future partners. To date, the Company has not experienced any losses related to these receivables.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or partnering arrangements with other potential future partners. To date, the Company has not experienced any losses related to contract assets.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Merck accounted for 100% of the Company’s revenue for the three months ended March 31, 2023 and 2022.</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Property and Equipment, Net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are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tbl>
      <w:tblPr>
        <w:tblW w:w="6960" w:type="dxa"/>
        <w:jc w:val="left"/>
        <w:tblInd w:w="0" w:type="dxa"/>
        <w:tblCellMar>
          <w:top w:w="28" w:type="dxa"/>
          <w:left w:w="28" w:type="dxa"/>
          <w:bottom w:w="28" w:type="dxa"/>
          <w:right w:w="28" w:type="dxa"/>
        </w:tblCellMar>
      </w:tblPr>
      <w:tblGrid>
        <w:gridCol w:w="1332"/>
        <w:gridCol w:w="1169"/>
        <w:gridCol w:w="1173"/>
        <w:gridCol w:w="958"/>
        <w:gridCol w:w="958"/>
        <w:gridCol w:w="1370"/>
      </w:tblGrid>
      <w:tr>
        <w:trPr/>
        <w:tc>
          <w:tcPr>
            <w:tcW w:w="1332"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3286"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32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w:t>
            </w:r>
          </w:p>
        </w:tc>
        <w:tc>
          <w:tcPr>
            <w:tcW w:w="328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Shorter of life of asset or lease term</w:t>
            </w:r>
          </w:p>
        </w:tc>
      </w:tr>
    </w:tbl>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Leases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Effective January 1, 2021, the Company adopted ASU 2016-02, Leases (Topic 842), referred to as ASC 842. Under ASC 842, 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corporate office space and facilities is classified as an operating lease.</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Impairment of Long-Lived Assets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1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carrying amount of the asset exceeds the estimated fair value of the asset. As of March 31, 2023 and December 31, 2022, no revision to the remaining useful lives or write-down of long-lived assets was required.</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Income Taxes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Revenue Recognition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or R&amp;D, services and (iii) non-mandatory services in connection with participation in research or steering committees. Payments received under these arrangements may include non-refundable upfront license fees, partial or complete reimbursement of R&amp;D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R&amp;D services performed under the collaboration agreement.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R&amp;D services or participation in research or steering committees, as well as whether options create material rights in the contract. In situations when a contract includes distinct R&amp;D services that are substantially the same and have the same pattern of transfer to the customer over time, they are recognized as a series of distinct services.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transaction price in each arrangement is generally comprised of a non-refundable upfront fee and unconstrained variable consideration related to the performance of R&amp;D services. The unconstrained variable consideration amount included in the transaction price represents an amount for which it is probable that a significant reversal of cumulative revenue recognized will not occur. The Company typically submits a budget for the R&amp;D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Research and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costs are expensed as incurred. R&amp;D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R&amp;D activities as expenses when the goods have been received or when the service has been performed rather than when the payment is made.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Clinical trial costs are a component of R&amp;D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Stock-Based Compensation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stock-based compensation programs include stock option and restricted stock unit, or RSU, grants, as well as shares issued under its 2019 Employee Stock Purchase Plan, or ESPP. Grants are awarded to employees, directors and non-employees. The Company measures stock-based compensation expense for all stock-based awards at the grant date based on the fair value measurement of the award.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Comprehensive Loss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Comprehensive loss is composed of net loss and certain changes in stockholders’ equity that are excluded from net loss, primarily unrealized gains or losses, net of taxes, on the Company’s marketable securities.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Net Loss per Share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and the assumed vesting of outstanding RSUs. However, where there is a diluted net loss per share, no adjustment is made for potentially issuable shares since their effect would be anti-dilutive. In this case, diluted net loss per share is equal to basic net loss per share.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Net loss per share was computed as follows (in thousands, except per share amounts):</w:t>
      </w:r>
    </w:p>
    <w:tbl>
      <w:tblPr>
        <w:tblW w:w="10205" w:type="dxa"/>
        <w:jc w:val="left"/>
        <w:tblInd w:w="0" w:type="dxa"/>
        <w:tblCellMar>
          <w:top w:w="28" w:type="dxa"/>
          <w:left w:w="28" w:type="dxa"/>
          <w:bottom w:w="28" w:type="dxa"/>
          <w:right w:w="28" w:type="dxa"/>
        </w:tblCellMar>
      </w:tblPr>
      <w:tblGrid>
        <w:gridCol w:w="2586"/>
        <w:gridCol w:w="2277"/>
        <w:gridCol w:w="2288"/>
        <w:gridCol w:w="211"/>
        <w:gridCol w:w="801"/>
        <w:gridCol w:w="109"/>
        <w:gridCol w:w="109"/>
        <w:gridCol w:w="109"/>
        <w:gridCol w:w="109"/>
        <w:gridCol w:w="211"/>
        <w:gridCol w:w="801"/>
        <w:gridCol w:w="109"/>
        <w:gridCol w:w="109"/>
        <w:gridCol w:w="109"/>
        <w:gridCol w:w="109"/>
        <w:gridCol w:w="158"/>
      </w:tblGrid>
      <w:tr>
        <w:trPr/>
        <w:tc>
          <w:tcPr>
            <w:tcW w:w="2586"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7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used in calculating net loss per share—basic and diluted</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share—basic and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Potentially dilutive securities that were not included in the diluted per share calculations because they would be anti-dilutive were as follows (in thousands):</w:t>
      </w:r>
    </w:p>
    <w:tbl>
      <w:tblPr>
        <w:tblW w:w="5820" w:type="dxa"/>
        <w:jc w:val="left"/>
        <w:tblInd w:w="0" w:type="dxa"/>
        <w:tblCellMar>
          <w:top w:w="28" w:type="dxa"/>
          <w:left w:w="28" w:type="dxa"/>
          <w:bottom w:w="28" w:type="dxa"/>
          <w:right w:w="28" w:type="dxa"/>
        </w:tblCellMar>
      </w:tblPr>
      <w:tblGrid>
        <w:gridCol w:w="1169"/>
        <w:gridCol w:w="1024"/>
        <w:gridCol w:w="1031"/>
        <w:gridCol w:w="375"/>
        <w:gridCol w:w="376"/>
        <w:gridCol w:w="202"/>
        <w:gridCol w:w="202"/>
        <w:gridCol w:w="202"/>
        <w:gridCol w:w="202"/>
        <w:gridCol w:w="375"/>
        <w:gridCol w:w="376"/>
        <w:gridCol w:w="286"/>
      </w:tblGrid>
      <w:tr>
        <w:trPr/>
        <w:tc>
          <w:tcPr>
            <w:tcW w:w="116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17,986 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committed under the ESPP</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7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20,089 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13,630 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Segment and Geographical Information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operates in one business segment. Substantially all of the Company’s long-lived assets, primarily comprised of property and equipment, are based in the United States. For the three months ended March 31, 2023 and 2022, the Company’s revenues were entirely within the United States based upon the location of the Company and Merck.</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3. Fair Value Measurements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equivalents and marketable securities are classified as available-for-sale securities and consisted of the following (in thousands):</w:t>
      </w:r>
    </w:p>
    <w:tbl>
      <w:tblPr>
        <w:tblW w:w="10205" w:type="dxa"/>
        <w:jc w:val="left"/>
        <w:tblInd w:w="0" w:type="dxa"/>
        <w:tblCellMar>
          <w:top w:w="28" w:type="dxa"/>
          <w:left w:w="28" w:type="dxa"/>
          <w:bottom w:w="28" w:type="dxa"/>
          <w:right w:w="28" w:type="dxa"/>
        </w:tblCellMar>
      </w:tblPr>
      <w:tblGrid>
        <w:gridCol w:w="1781"/>
        <w:gridCol w:w="1498"/>
        <w:gridCol w:w="1504"/>
        <w:gridCol w:w="211"/>
        <w:gridCol w:w="856"/>
        <w:gridCol w:w="109"/>
        <w:gridCol w:w="109"/>
        <w:gridCol w:w="109"/>
        <w:gridCol w:w="109"/>
        <w:gridCol w:w="309"/>
        <w:gridCol w:w="551"/>
        <w:gridCol w:w="161"/>
        <w:gridCol w:w="109"/>
        <w:gridCol w:w="109"/>
        <w:gridCol w:w="109"/>
        <w:gridCol w:w="268"/>
        <w:gridCol w:w="613"/>
        <w:gridCol w:w="140"/>
        <w:gridCol w:w="109"/>
        <w:gridCol w:w="109"/>
        <w:gridCol w:w="109"/>
        <w:gridCol w:w="211"/>
        <w:gridCol w:w="856"/>
        <w:gridCol w:w="156"/>
      </w:tblGrid>
      <w:tr>
        <w:trPr/>
        <w:tc>
          <w:tcPr>
            <w:tcW w:w="1781"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March 31, 2023</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$163,552)</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745"/>
        <w:gridCol w:w="1516"/>
        <w:gridCol w:w="1523"/>
        <w:gridCol w:w="211"/>
        <w:gridCol w:w="856"/>
        <w:gridCol w:w="109"/>
        <w:gridCol w:w="109"/>
        <w:gridCol w:w="109"/>
        <w:gridCol w:w="109"/>
        <w:gridCol w:w="309"/>
        <w:gridCol w:w="551"/>
        <w:gridCol w:w="161"/>
        <w:gridCol w:w="109"/>
        <w:gridCol w:w="109"/>
        <w:gridCol w:w="109"/>
        <w:gridCol w:w="268"/>
        <w:gridCol w:w="613"/>
        <w:gridCol w:w="140"/>
        <w:gridCol w:w="109"/>
        <w:gridCol w:w="109"/>
        <w:gridCol w:w="109"/>
        <w:gridCol w:w="211"/>
        <w:gridCol w:w="856"/>
        <w:gridCol w:w="155"/>
      </w:tblGrid>
      <w:tr>
        <w:trPr/>
        <w:tc>
          <w:tcPr>
            <w:tcW w:w="1745"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$198,338)</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cash and cash equivalents amount in the table above excludes cash on deposit with banks of $2.7 million and $10.6 million as of March 31, 2023 and December 31, 2022, respectively.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2023 and December 31, 2022, all of the Company’s marketable securities had remaining contractual maturities of less than one year. As of March 31, 2023, the Company had 15 marketable securities in an unrealized loss position compared to 19 marketable securities in an unrealized loss position as of December 31, 2022. Marketable securities that had been in unrealized loss positions as of March 31, 2023 and December 31, 2022 were in an unrealized loss position for less than twelve months. The Company does not need to nor does it intend to sell marketable securities that are in an unrealized loss position and it is highly unlikely that the Company will be required to sell the investments before recovery of their amortized cost basis, which may be maturity.</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by major security type, the Company's available-for-sale securities that were measured at fair value on a recurring basis and were categorized using the fair value hierarchy (in thousands):</w:t>
      </w:r>
    </w:p>
    <w:tbl>
      <w:tblPr>
        <w:tblW w:w="8354" w:type="dxa"/>
        <w:jc w:val="left"/>
        <w:tblInd w:w="0" w:type="dxa"/>
        <w:tblCellMar>
          <w:top w:w="28" w:type="dxa"/>
          <w:left w:w="28" w:type="dxa"/>
          <w:bottom w:w="28" w:type="dxa"/>
          <w:right w:w="28" w:type="dxa"/>
        </w:tblCellMar>
      </w:tblPr>
      <w:tblGrid>
        <w:gridCol w:w="1151"/>
        <w:gridCol w:w="1012"/>
        <w:gridCol w:w="1016"/>
        <w:gridCol w:w="211"/>
        <w:gridCol w:w="856"/>
        <w:gridCol w:w="109"/>
        <w:gridCol w:w="109"/>
        <w:gridCol w:w="109"/>
        <w:gridCol w:w="109"/>
        <w:gridCol w:w="211"/>
        <w:gridCol w:w="751"/>
        <w:gridCol w:w="109"/>
        <w:gridCol w:w="109"/>
        <w:gridCol w:w="109"/>
        <w:gridCol w:w="109"/>
        <w:gridCol w:w="211"/>
        <w:gridCol w:w="406"/>
        <w:gridCol w:w="109"/>
        <w:gridCol w:w="109"/>
        <w:gridCol w:w="109"/>
        <w:gridCol w:w="109"/>
        <w:gridCol w:w="211"/>
        <w:gridCol w:w="856"/>
        <w:gridCol w:w="154"/>
      </w:tblGrid>
      <w:tr>
        <w:trPr/>
        <w:tc>
          <w:tcPr>
            <w:tcW w:w="1151"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March 31, 2023</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459" w:type="dxa"/>
        <w:jc w:val="left"/>
        <w:tblInd w:w="0" w:type="dxa"/>
        <w:tblCellMar>
          <w:top w:w="28" w:type="dxa"/>
          <w:left w:w="28" w:type="dxa"/>
          <w:bottom w:w="28" w:type="dxa"/>
          <w:right w:w="28" w:type="dxa"/>
        </w:tblCellMar>
      </w:tblPr>
      <w:tblGrid>
        <w:gridCol w:w="1152"/>
        <w:gridCol w:w="1011"/>
        <w:gridCol w:w="1016"/>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15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estimates the fair values of investments in commercial paper, corporate and agency bond securities and U.S. government agency securities using Level 2 inputs by taking into consideration valuations obtained from third-party pricing services.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were no transfers of assets or liabilities between the fair value measurement levels during the three months ended March 31, 2023 and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4. Balance Sheet Components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A reconciliation of cash, cash equivalents and restricted cash reported within the condensed consolidated balance sheets to the amount reported within the condensed consolidated statements of cash flows is as follows (in thousands):</w:t>
      </w:r>
    </w:p>
    <w:tbl>
      <w:tblPr>
        <w:tblW w:w="7098" w:type="dxa"/>
        <w:jc w:val="left"/>
        <w:tblInd w:w="0" w:type="dxa"/>
        <w:tblCellMar>
          <w:top w:w="28" w:type="dxa"/>
          <w:left w:w="28" w:type="dxa"/>
          <w:bottom w:w="28" w:type="dxa"/>
          <w:right w:w="28" w:type="dxa"/>
        </w:tblCellMar>
      </w:tblPr>
      <w:tblGrid>
        <w:gridCol w:w="1574"/>
        <w:gridCol w:w="1385"/>
        <w:gridCol w:w="1391"/>
        <w:gridCol w:w="211"/>
        <w:gridCol w:w="751"/>
        <w:gridCol w:w="109"/>
        <w:gridCol w:w="109"/>
        <w:gridCol w:w="109"/>
        <w:gridCol w:w="109"/>
        <w:gridCol w:w="255"/>
        <w:gridCol w:w="909"/>
        <w:gridCol w:w="186"/>
      </w:tblGrid>
      <w:tr>
        <w:trPr/>
        <w:tc>
          <w:tcPr>
            <w:tcW w:w="157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3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71,503 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77,410 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Property and Equipment</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consisted of the following (in thousands):</w:t>
      </w:r>
    </w:p>
    <w:tbl>
      <w:tblPr>
        <w:tblW w:w="7127" w:type="dxa"/>
        <w:jc w:val="left"/>
        <w:tblInd w:w="0" w:type="dxa"/>
        <w:tblCellMar>
          <w:top w:w="28" w:type="dxa"/>
          <w:left w:w="28" w:type="dxa"/>
          <w:bottom w:w="28" w:type="dxa"/>
          <w:right w:w="28" w:type="dxa"/>
        </w:tblCellMar>
      </w:tblPr>
      <w:tblGrid>
        <w:gridCol w:w="1586"/>
        <w:gridCol w:w="1393"/>
        <w:gridCol w:w="1400"/>
        <w:gridCol w:w="211"/>
        <w:gridCol w:w="751"/>
        <w:gridCol w:w="109"/>
        <w:gridCol w:w="109"/>
        <w:gridCol w:w="109"/>
        <w:gridCol w:w="109"/>
        <w:gridCol w:w="255"/>
        <w:gridCol w:w="909"/>
        <w:gridCol w:w="186"/>
      </w:tblGrid>
      <w:tr>
        <w:trPr/>
        <w:tc>
          <w:tcPr>
            <w:tcW w:w="1586"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3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25,866 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23,807 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96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8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Construction-in-progress</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gross</w:t>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51,390 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(42,894)</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Depreciation expense was $0.6 million and $1.4 million for the three months ended March 31, 2023 and 2022, respectively. </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Accrued Liabilities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Accrued liabilities consisted of the following (in thousands):</w:t>
      </w:r>
    </w:p>
    <w:tbl>
      <w:tblPr>
        <w:tblW w:w="7247" w:type="dxa"/>
        <w:jc w:val="left"/>
        <w:tblInd w:w="0" w:type="dxa"/>
        <w:tblCellMar>
          <w:top w:w="28" w:type="dxa"/>
          <w:left w:w="28" w:type="dxa"/>
          <w:bottom w:w="28" w:type="dxa"/>
          <w:right w:w="28" w:type="dxa"/>
        </w:tblCellMar>
      </w:tblPr>
      <w:tblGrid>
        <w:gridCol w:w="1630"/>
        <w:gridCol w:w="1433"/>
        <w:gridCol w:w="1436"/>
        <w:gridCol w:w="211"/>
        <w:gridCol w:w="751"/>
        <w:gridCol w:w="109"/>
        <w:gridCol w:w="109"/>
        <w:gridCol w:w="109"/>
        <w:gridCol w:w="109"/>
        <w:gridCol w:w="255"/>
        <w:gridCol w:w="909"/>
        <w:gridCol w:w="186"/>
      </w:tblGrid>
      <w:tr>
        <w:trPr/>
        <w:tc>
          <w:tcPr>
            <w:tcW w:w="1630"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499" w:type="dxa"/>
            <w:gridSpan w:val="3"/>
            <w:tcBorders/>
            <w:shd w:fill="CFF2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Clinical trials and research and development costs</w:t>
            </w:r>
          </w:p>
        </w:tc>
        <w:tc>
          <w:tcPr>
            <w:tcW w:w="211" w:type="dxa"/>
            <w:tcBorders>
              <w:top w:val="single" w:sz="8" w:space="0" w:color="000000"/>
            </w:tcBorders>
            <w:shd w:fill="CFF2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2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8,836 </w:t>
            </w:r>
          </w:p>
        </w:tc>
        <w:tc>
          <w:tcPr>
            <w:tcW w:w="109" w:type="dxa"/>
            <w:tcBorders>
              <w:top w:val="single" w:sz="8" w:space="0" w:color="000000"/>
            </w:tcBorders>
            <w:shd w:fill="CFF2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2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FF2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2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14,597 </w:t>
            </w:r>
          </w:p>
        </w:tc>
        <w:tc>
          <w:tcPr>
            <w:tcW w:w="186" w:type="dxa"/>
            <w:tcBorders>
              <w:top w:val="single" w:sz="8" w:space="0" w:color="000000"/>
            </w:tcBorders>
            <w:shd w:fill="CFF2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costs</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9,181 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FF2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costs</w:t>
            </w:r>
          </w:p>
        </w:tc>
        <w:tc>
          <w:tcPr>
            <w:tcW w:w="962" w:type="dxa"/>
            <w:gridSpan w:val="2"/>
            <w:tcBorders/>
            <w:shd w:fill="CFF2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1,440 </w:t>
            </w:r>
          </w:p>
        </w:tc>
        <w:tc>
          <w:tcPr>
            <w:tcW w:w="109" w:type="dxa"/>
            <w:tcBorders/>
            <w:shd w:fill="CFF2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2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FF2FC"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6,026 </w:t>
            </w:r>
          </w:p>
        </w:tc>
        <w:tc>
          <w:tcPr>
            <w:tcW w:w="186" w:type="dxa"/>
            <w:tcBorders/>
            <w:shd w:fill="CFF2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FF2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CFF2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2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20,161 </w:t>
            </w:r>
          </w:p>
        </w:tc>
        <w:tc>
          <w:tcPr>
            <w:tcW w:w="109" w:type="dxa"/>
            <w:tcBorders>
              <w:top w:val="single" w:sz="8" w:space="0" w:color="000000"/>
              <w:bottom w:val="double" w:sz="8" w:space="0" w:color="000000"/>
            </w:tcBorders>
            <w:shd w:fill="CFF2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2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FF2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2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86" w:type="dxa"/>
            <w:tcBorders>
              <w:top w:val="single" w:sz="8" w:space="0" w:color="000000"/>
              <w:bottom w:val="double" w:sz="8" w:space="0" w:color="000000"/>
            </w:tcBorders>
            <w:shd w:fill="CFF2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5. Research Collaboration and License Agreements</w:t>
      </w:r>
    </w:p>
    <w:p>
      <w:pPr>
        <w:pStyle w:val="TextBody"/>
        <w:spacing w:lineRule="auto" w:line="268" w:before="120" w:after="120"/>
        <w:jc w:val="both"/>
        <w:rPr>
          <w:rFonts w:ascii="Arial;sans-serif" w:hAnsi="Arial;sans-serif"/>
          <w:b/>
          <w:i/>
          <w:color w:val="000000"/>
          <w:sz w:val="20"/>
        </w:rPr>
      </w:pPr>
      <w:r>
        <w:rPr>
          <w:rFonts w:ascii="Arial;sans-serif" w:hAnsi="Arial;sans-serif"/>
          <w:b/>
          <w:i/>
          <w:color w:val="000000"/>
          <w:sz w:val="20"/>
        </w:rPr>
        <w:t>Merck</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phase of the collaboration was for five years and was extended by Merck for an additional two years through March 2022. As part of that extension, Merck agreed to continue to fund up to $75.0 million of the Company's R&amp;D efforts each year consistent with the initial five-year research term and, in lieu of a $20.0 million extension fee payable to the Company, Merck agreed to make additional payments totaling up to $20.0 million in support of the Company's R&amp;D activities during 2021 through the first quarter of 2022.</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June 30, 2021, the Company entered into an amended and restated research collaboration, product development and license agreement with Merck, or the Amended Collaboration Agreement, replacing the Original Collaboration Agreement and extending the research phase of the collaboration generally through March 31, 2024, with possible extensions for each of the various programs to allow the Company or Merck to complete ongoing development, but with a narrower scope than in the Original 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 and other activities on compounds that are directed to one of up to two undisclosed targets outside of the fields of ophthalmology and CVM disease, or the Lab Programs.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Currently, the only ongoing research activities to be funded under the Amended Collaboration Agreement are certain CVM-related activities. The research phase for the CVM-related continuing programs will continue until March 31, 2024, unless the parties mutually agree to extend the research phase to March 31, 2026, in which case Merck would provide up to a total of $20.0 million in research funding during those additional two years. Remaining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activities under the Lab Programs were substantially completed in the first quarter of 2023. The ophthalmology compounds in the collaboration under the Amended Collaboration Agreement initially included NGM621 (and its related compounds) and compounds directed against two other undisclosed ophthalmology targets (and their related compounds). Merck had a one-time option to license NGM621, its related compounds and the ophthalmology bundle upon completion of the Phase 2 CATALINA trial. In December 2022, Merck notified the Company that it would not exercise its option to license NGM621 and its related compounds, nor would Merck exercise the related ophthalmology bundle option; accordingly, these options expired unexercised in January 2023 and the programs are now wholly-owned by the Company. Further, Merck did not elect for the Company to continue to conduct R&amp;D on any compounds from the Company's other ophthalmology programs that were subject to the collaboration, which are preclinical and directed to undisclosed targets. Such an election would have resulted in an extended or tail period in which Merck would continue to fund the Company's R&amp;D of such ophthalmology compounds. Because Merck did not exercise its ophthalmology license options or make such a tail period election, the programs are now wholly-owned by the Company and the Company does not have any funding from Merck to pursue such ophthalmology programs.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Pursuant to the Amended Collaboration Agreement, the Company gained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were not included within the R&amp;D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Merck continued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 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We do not expect any new CVM-related programs to be added to the collaboration.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 Merck will be responsible, at its own cost, for any further development and commercialization activities for continuing collaboration compounds within any such licensed continuing program.</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March 2022, the Company and Merck entered into a letter agreement, or the Letter Agreement, regarding NGM621 manufacturing activities that the Company undertook with the intention of avoiding a significant delay between the completion of the CATALINA trial and the start of any Phase 3 clinical trial for NGM621.</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concluded that the Amended Collaboration Agreement is a separate arrangement containing a three-year performance obligation to provide distinct R&amp;D services in accordance with ASC 606. The total transaction price under the Amended Collaboration Agreement is $119.6 million which includes $86.0 million in research funding for the four calendar quarters that ended on March 31, 2022, $15.7 million in research funding for the ophthalmology and CVM-related continuing programs and the Lab Programs during the remaining two years of the research phase after March 2022, $13.1 million in estimated NGM621 reimbursable expenses and costs during the remaining two years of the research phase after March 2022 and $4.75 million for reimbursable amounts paid in 2022 to a third-party manufacturer in accordance with the terms of the Letter Agreement. The Company will continue to re-evaluate the transaction price as uncertain events are resolved or other changes in circumstances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occur. The Company continues performing its R&amp;D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 For the period that started on April 1, 2023 and ends on March 31, 2024, the Company expects Merck will provide funding of only approximately $4.0 million in the aggregate for the ongoing CVM-related activities and for certain costs and reimbursements related to the NGM621 program and this amount is included in the transaction price.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considered whether the Merck license option created material rights in the contract and concluded that the fee attached to the exercise of such option approximated the SSP of the promised goods or services included in the option. Therefore, the Company concluded that such option did not give rise to a material right, was not a performance obligation in the Amended Collaboration Agreement and, if and when exercised, would be accounted for as separate arrangements under ASC 606.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Merck owned approximately 16% of the Company's outstanding shares as of March 31, 2023.</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Summary of Related Party Revenue</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recognized revenue from its collaboration and license agreements as follows (in thousands):</w:t>
      </w:r>
    </w:p>
    <w:tbl>
      <w:tblPr>
        <w:tblW w:w="4870" w:type="dxa"/>
        <w:jc w:val="left"/>
        <w:tblInd w:w="0" w:type="dxa"/>
        <w:tblCellMar>
          <w:top w:w="28" w:type="dxa"/>
          <w:left w:w="28" w:type="dxa"/>
          <w:bottom w:w="28" w:type="dxa"/>
          <w:right w:w="28" w:type="dxa"/>
        </w:tblCellMar>
      </w:tblPr>
      <w:tblGrid>
        <w:gridCol w:w="734"/>
        <w:gridCol w:w="644"/>
        <w:gridCol w:w="647"/>
        <w:gridCol w:w="211"/>
        <w:gridCol w:w="646"/>
        <w:gridCol w:w="109"/>
        <w:gridCol w:w="109"/>
        <w:gridCol w:w="109"/>
        <w:gridCol w:w="109"/>
        <w:gridCol w:w="211"/>
        <w:gridCol w:w="751"/>
        <w:gridCol w:w="109"/>
        <w:gridCol w:w="109"/>
        <w:gridCol w:w="109"/>
        <w:gridCol w:w="109"/>
        <w:gridCol w:w="154"/>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three months ended March 31, 2023, the Company recognized collaboration and license revenue of $2.2 million primarily related to reimbursable R&amp;D activities associated with the performance obligation under the Amended Collaboration Agreement under which Merck is providing significantly less annual R&amp;D funding than it had provided through March 31, 2022. Revenue recognized related to the reimbursable R&amp;D activities was recognized using the cost-based input model related to R&amp;D activities.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Related Party Contract Assets and Liabilities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March 31, 2023 and December 31, 2022, the Company did not have a related party contract asset.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The Company recorded contract liabilities of $0.4 million as of March 31, 2023 and as of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6. Commitments and Contingencies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Operating Leases and Lease Guarantee</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In December 2015, the Company entered into an operating lease agreement, or the 333 Oyster Point lease agreement, for its corporate office space and facilities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As of March 31, 2023, restricted cash in current assets on the Company's condensed consolidated balance sheets included a letter of credit in the amount of $1.5 million required under the 333 Oyster Point lease agreement.</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2023, the weighted-average remaining lease term for the 333 Oyster Point lease agreement was 9 months and the weighted-average discount rate used to determine the Company's operating lease liability was 2.85%. Cash paid for amounts included in the measurement of the lease liabilities was $1.3 million in both the three month periods ended March 31, 2023 and 2022.</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2023 and March 31, 2022, the components of lease costs, which were included in general and administrative expenses on the Company's condensed consolidated statements of operations, were as follows (in thousands): </w:t>
      </w:r>
    </w:p>
    <w:tbl>
      <w:tblPr>
        <w:tblW w:w="4149" w:type="dxa"/>
        <w:jc w:val="left"/>
        <w:tblInd w:w="0" w:type="dxa"/>
        <w:tblCellMar>
          <w:top w:w="28" w:type="dxa"/>
          <w:left w:w="28" w:type="dxa"/>
          <w:bottom w:w="28" w:type="dxa"/>
          <w:right w:w="28" w:type="dxa"/>
        </w:tblCellMar>
      </w:tblPr>
      <w:tblGrid>
        <w:gridCol w:w="787"/>
        <w:gridCol w:w="693"/>
        <w:gridCol w:w="695"/>
        <w:gridCol w:w="211"/>
        <w:gridCol w:w="481"/>
        <w:gridCol w:w="109"/>
        <w:gridCol w:w="109"/>
        <w:gridCol w:w="109"/>
        <w:gridCol w:w="109"/>
        <w:gridCol w:w="211"/>
        <w:gridCol w:w="481"/>
        <w:gridCol w:w="154"/>
      </w:tblGrid>
      <w:tr>
        <w:trPr/>
        <w:tc>
          <w:tcPr>
            <w:tcW w:w="78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March 31, </w:t>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1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costs (1)</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spacing w:lineRule="auto" w:line="288" w:before="60" w:after="120"/>
        <w:ind w:left="0" w:right="0" w:hanging="540"/>
        <w:jc w:val="both"/>
        <w:rPr>
          <w:rFonts w:ascii="Arial;sans-serif" w:hAnsi="Arial;sans-serif"/>
          <w:b w:val="false"/>
          <w:color w:val="000000"/>
          <w:sz w:val="16"/>
        </w:rPr>
      </w:pPr>
      <w:r>
        <w:rPr>
          <w:rFonts w:ascii="Arial;sans-serif" w:hAnsi="Arial;sans-serif"/>
          <w:b w:val="false"/>
          <w:color w:val="000000"/>
          <w:sz w:val="16"/>
        </w:rPr>
        <w:t>(1)Variable lease costs include certain additional charges for operating costs, including insurance, maintenance, taxes and other costs incurred, which are billed based on both usage and as a percentage of the Company’s share of total square footage.</w:t>
      </w:r>
    </w:p>
    <w:p>
      <w:pPr>
        <w:pStyle w:val="TextBody"/>
        <w:spacing w:lineRule="auto" w:line="288" w:before="180" w:after="120"/>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2023, the maturities of the Company’s operating lease liabilities and future minimum lease payments were as follows (in thousands):</w:t>
      </w:r>
    </w:p>
    <w:tbl>
      <w:tblPr>
        <w:tblW w:w="9126" w:type="dxa"/>
        <w:jc w:val="left"/>
        <w:tblInd w:w="0" w:type="dxa"/>
        <w:tblCellMar>
          <w:top w:w="28" w:type="dxa"/>
          <w:left w:w="28" w:type="dxa"/>
          <w:bottom w:w="28" w:type="dxa"/>
          <w:right w:w="28" w:type="dxa"/>
        </w:tblCellMar>
      </w:tblPr>
      <w:tblGrid>
        <w:gridCol w:w="2938"/>
        <w:gridCol w:w="2582"/>
        <w:gridCol w:w="2595"/>
        <w:gridCol w:w="211"/>
        <w:gridCol w:w="646"/>
        <w:gridCol w:w="154"/>
      </w:tblGrid>
      <w:tr>
        <w:trPr/>
        <w:tc>
          <w:tcPr>
            <w:tcW w:w="2938" w:type="dxa"/>
            <w:tcBorders/>
            <w:shd w:fill="auto" w:val="clear"/>
            <w:vAlign w:val="center"/>
          </w:tcPr>
          <w:p>
            <w:pPr>
              <w:pStyle w:val="TableContents"/>
              <w:spacing w:before="0" w:after="283"/>
              <w:rPr>
                <w:sz w:val="4"/>
                <w:szCs w:val="4"/>
              </w:rPr>
            </w:pPr>
            <w:r>
              <w:rPr>
                <w:sz w:val="4"/>
                <w:szCs w:val="4"/>
              </w:rPr>
            </w:r>
          </w:p>
        </w:tc>
        <w:tc>
          <w:tcPr>
            <w:tcW w:w="2582" w:type="dxa"/>
            <w:tcBorders/>
            <w:shd w:fill="auto" w:val="clear"/>
            <w:vAlign w:val="center"/>
          </w:tcPr>
          <w:p>
            <w:pPr>
              <w:pStyle w:val="TableContents"/>
              <w:spacing w:before="0" w:after="283"/>
              <w:rPr>
                <w:sz w:val="4"/>
                <w:szCs w:val="4"/>
              </w:rPr>
            </w:pPr>
            <w:r>
              <w:rPr>
                <w:sz w:val="4"/>
                <w:szCs w:val="4"/>
              </w:rPr>
            </w:r>
          </w:p>
        </w:tc>
        <w:tc>
          <w:tcPr>
            <w:tcW w:w="25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 for the remainder of the year ending December 31, 2023</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present value adjustment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2022, the Company entered into an operating lease agreement, or the 2024 Lease Agreement, for its corporate office space and facilities at 333 Oyster Point Blvd., South San Francisco, California, which the Company currently occupies pursuant to a sublease agreement that is scheduled to expire on December 31, 2023. Pursuant to the 2024 Lease Agreement, the lease term with the new landlord begins on January 1, 2024 and expires on December 31, 2033, and the Company will pay an initial monthly base rent of approximately $0.9 million for the first year, which is subject to increase at an annual rate of 3.5% each year thereafter, plus certain operating and tax expenses. Base rent during the initial ten-year term of the 2024 Lease Agreement will total $124.1 million. The 2024 Lease Agreement provides a tenant improvement allowance of approximately $4.9 million. The Company has an option to extend the 2024 Lease Agreement for a period of either eight or ten years after the initial term. In July 2022, pursuant to the 2024 Lease Agreement, the Company provided the landlord with a letter of credit in the amount of $2.5 million that was reported as restricted cash in non-current assets on the Company's condensed consolidated balance sheets as of March 31, 2023 and December 31, 2022. </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Indemnification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7. Stock-Based Compensation</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Stock Option Activity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summary of the activity under the 2008 Plan and the 2018 Plan is as follows:</w:t>
      </w:r>
    </w:p>
    <w:tbl>
      <w:tblPr>
        <w:tblW w:w="10205" w:type="dxa"/>
        <w:jc w:val="left"/>
        <w:tblInd w:w="0" w:type="dxa"/>
        <w:tblCellMar>
          <w:top w:w="28" w:type="dxa"/>
          <w:left w:w="28" w:type="dxa"/>
          <w:bottom w:w="28" w:type="dxa"/>
          <w:right w:w="28" w:type="dxa"/>
        </w:tblCellMar>
      </w:tblPr>
      <w:tblGrid>
        <w:gridCol w:w="1437"/>
        <w:gridCol w:w="1250"/>
        <w:gridCol w:w="1258"/>
        <w:gridCol w:w="448"/>
        <w:gridCol w:w="443"/>
        <w:gridCol w:w="445"/>
        <w:gridCol w:w="122"/>
        <w:gridCol w:w="122"/>
        <w:gridCol w:w="122"/>
        <w:gridCol w:w="237"/>
        <w:gridCol w:w="727"/>
        <w:gridCol w:w="122"/>
        <w:gridCol w:w="109"/>
        <w:gridCol w:w="109"/>
        <w:gridCol w:w="109"/>
        <w:gridCol w:w="477"/>
        <w:gridCol w:w="477"/>
        <w:gridCol w:w="479"/>
        <w:gridCol w:w="109"/>
        <w:gridCol w:w="109"/>
        <w:gridCol w:w="109"/>
        <w:gridCol w:w="286"/>
        <w:gridCol w:w="880"/>
        <w:gridCol w:w="219"/>
      </w:tblGrid>
      <w:tr>
        <w:trPr/>
        <w:tc>
          <w:tcPr>
            <w:tcW w:w="1437"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94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Outstanding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 Life</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Aggregate</w:t>
              <w:br/>
              <w:t>Intrinsic</w:t>
              <w:br/>
              <w:t>Value</w:t>
              <w:br/>
              <w:t>(In Thousands)</w:t>
            </w:r>
          </w:p>
        </w:tc>
      </w:tr>
      <w:tr>
        <w:trPr/>
        <w:tc>
          <w:tcPr>
            <w:tcW w:w="3945" w:type="dxa"/>
            <w:gridSpan w:val="3"/>
            <w:vMerge w:val="continue"/>
            <w:tcBorders/>
            <w:shd w:fill="auto" w:val="clear"/>
            <w:tcMar>
              <w:top w:w="0" w:type="dxa"/>
              <w:left w:w="0" w:type="dxa"/>
              <w:bottom w:w="0" w:type="dxa"/>
              <w:right w:w="0" w:type="dxa"/>
            </w:tcMar>
            <w:vAlign w:val="center"/>
          </w:tcPr>
          <w:p>
            <w:pPr>
              <w:pStyle w:val="Normal"/>
              <w:rPr/>
            </w:pPr>
            <w:r>
              <w:rPr/>
            </w:r>
          </w:p>
        </w:tc>
        <w:tc>
          <w:tcPr>
            <w:tcW w:w="1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Number of</w:t>
              <w:br/>
              <w:t xml:space="preserve">Options </w:t>
              <w:br/>
              <w:t>(In Thousands)</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December 31, 2022</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granted</w:t>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4,292 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exercised</w:t>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forfeited</w:t>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expired</w:t>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March 31, 2023</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17,986 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expected to vest at March 31, 2023</w:t>
            </w:r>
          </w:p>
        </w:tc>
        <w:tc>
          <w:tcPr>
            <w:tcW w:w="89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17,224 </w:t>
            </w:r>
          </w:p>
        </w:tc>
        <w:tc>
          <w:tcPr>
            <w:tcW w:w="44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2023</w:t>
            </w:r>
          </w:p>
        </w:tc>
        <w:tc>
          <w:tcPr>
            <w:tcW w:w="89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9,294 </w:t>
            </w:r>
          </w:p>
        </w:tc>
        <w:tc>
          <w:tcPr>
            <w:tcW w:w="4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aggregate intrinsic values of options outstanding, vested and expected to vest, and exercisable were calculated as the difference between the exercise price of the options and the estimated fair value of the Company’s common stock.</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weighted-average grant date fair value of stock options granted during the three months ended March 31, 2023 was $3.18 per share.</w:t>
      </w:r>
    </w:p>
    <w:p>
      <w:pPr>
        <w:pStyle w:val="TextBody"/>
        <w:spacing w:lineRule="auto" w:line="288" w:before="240" w:after="120"/>
        <w:rPr>
          <w:rFonts w:ascii="Arial;sans-serif" w:hAnsi="Arial;sans-serif"/>
          <w:b/>
          <w:i/>
          <w:color w:val="000000"/>
          <w:sz w:val="20"/>
        </w:rPr>
      </w:pPr>
      <w:r>
        <w:rPr>
          <w:rFonts w:ascii="Arial;sans-serif" w:hAnsi="Arial;sans-serif"/>
          <w:b/>
          <w:i/>
          <w:color w:val="000000"/>
          <w:sz w:val="20"/>
        </w:rPr>
        <w:t>Employee Stock Purchase Plan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ESPP is considered a compensatory plan. As of March 31, 2023, 736,170 shares of common stock had been purchased under the ESPP.</w:t>
      </w:r>
    </w:p>
    <w:p>
      <w:pPr>
        <w:pStyle w:val="TextBody"/>
        <w:spacing w:lineRule="auto" w:line="288" w:before="240" w:after="120"/>
        <w:rPr>
          <w:rFonts w:ascii="Arial;sans-serif" w:hAnsi="Arial;sans-serif"/>
          <w:b/>
          <w:i/>
          <w:color w:val="000000"/>
          <w:sz w:val="20"/>
        </w:rPr>
      </w:pPr>
      <w:r>
        <w:rPr>
          <w:rFonts w:ascii="Arial;sans-serif" w:hAnsi="Arial;sans-serif"/>
          <w:b/>
          <w:i/>
          <w:color w:val="000000"/>
          <w:sz w:val="20"/>
        </w:rPr>
        <w:t xml:space="preserve">Restricted Stock Units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March 31, 2023, the Company granted 1.0 million RSUs covering an equal number of shares of the Company's common stock to employees with a weighted-average grant date fair value of $4.36 per RSU. The fair value of RSUs is determined on the date of grant based on the market price of the Company's common stock as of that date. The fair value of the RSUs is recognized as an expense ratably over the vesting period of four years. No shares underlying the RSUs have vested or been released as of March 31, 2023.</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Stock-based compensation expense was calculated based on awards previously granted to employees, directors and non-employees that are ultimately expected to vest and has been reduced for estimated forfeitures.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was allocated as follows (in thousands):</w:t>
      </w:r>
    </w:p>
    <w:tbl>
      <w:tblPr>
        <w:tblW w:w="6053" w:type="dxa"/>
        <w:jc w:val="left"/>
        <w:tblInd w:w="0" w:type="dxa"/>
        <w:tblCellMar>
          <w:top w:w="28" w:type="dxa"/>
          <w:left w:w="28" w:type="dxa"/>
          <w:bottom w:w="28" w:type="dxa"/>
          <w:right w:w="28" w:type="dxa"/>
        </w:tblCellMar>
      </w:tblPr>
      <w:tblGrid>
        <w:gridCol w:w="1358"/>
        <w:gridCol w:w="1194"/>
        <w:gridCol w:w="1197"/>
        <w:gridCol w:w="211"/>
        <w:gridCol w:w="646"/>
        <w:gridCol w:w="109"/>
        <w:gridCol w:w="109"/>
        <w:gridCol w:w="109"/>
        <w:gridCol w:w="109"/>
        <w:gridCol w:w="211"/>
        <w:gridCol w:w="646"/>
        <w:gridCol w:w="154"/>
      </w:tblGrid>
      <w:tr>
        <w:trPr/>
        <w:tc>
          <w:tcPr>
            <w:tcW w:w="1358"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7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March 31, 2023, total compensation cost not yet recognized related to unvested stock options was $58.5 million, which is expected to be recognized over a weighted-average period of 2.3 years. As of March 31,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2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2023, total compensation cost not yet recognized related to unvested RSUs was $3.7 million, which is expected to be recognized over a weighted-average period of 3.8 years.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8. Income Taxes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the Company has incurred net losses, and the Company expects to record a net loss for the year ending December 31, 2023. Additionally, the Company’s net deferred tax assets have been fully offset by a valuation allowance. Therefore, the Company did not record a tax provision for income taxes for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9. Subsequent Event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3, 2023, the Company's board of directors approved a restructuring of the Company's workforce pursuant to which the Company’s workforce will be reduced by 75 people, or approximately 33% of the Company’s existing headcount as of such date. The restructuring was communicated to employees on April 4, 2023. The Company estimated that it will incur approximately $5.0 million in restructuring charges in connection with the restructuring, consisting of (i) approximately $4.5 million in cash-based expenses related to employee severance and notice period payments, benefits and related costs, and (ii) approximately $0.5 million in non-cash stock-based compensation expense related to the vesting of share-based awards. The Company expects that the majority of the restructuring charges will be incurred in the second quarter of 2023 and that the execution of the restructuring, including cash payments, will be substantially complete by the end of the second quarter of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(1) the condensed consolidated financial statements and notes to the condensed consolidated financial statements included elsewhere in this Quarterly Report on Form 10-Q and (2) the audited consolidated financial statements and related notes and management’s discussion and analysis of financial condition and results of operations for the fiscal year ended December 31, 2022 included in our Annual Report on Form 10-K filed with the U.S. Securities and Exchange Commission, or SEC, on February 28, 2023, or the 2022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"aspire," “believe,” “continue,” “could,” “estimate,” “expect,” “intend,” “may,” “plan,” “potential,” “predict,” “should,” “will” or the negative of these terms or other similar expressions.</w:t>
      </w:r>
    </w:p>
    <w:p>
      <w:pPr>
        <w:pStyle w:val="TextBody"/>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Overview of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Currently, we have four programs in active ongoing clinical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pipeline is currently divided into two categories with separate approaches to development strategy and resource allocation in an effort designed to enable more of the product candidates in our pipeline to be advanced as effectively and efficiently as possible. To that end, we are currently focusing most of our execution efforts and resources on advancing our clinical-stage solid tumor oncology programs to potentially rapid proof of concept. For our other programs that are in therapeutic areas where clinical development is relatively resource intensive and can have long timelines to generate proof-of-concept data, due to the need to conserve capital and prioritize focused execution, we are actively seeking, or intend to seek, as applicable, collaboration, out licensing, partnership or other business development arrangements, or BD Arrangements, with third-party partners with sufficient resources and relevant domain expertise in order to further their development.</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 xml:space="preserve">Pipeline Programs and Operational Updates </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Key Programs in Active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pipeline includes four solid tumor oncology programs in active ongoing clinical development. We are currently focusing most of our execution efforts and resources on these key programs. We have intentionally built our clinical capabilities primarily in areas such as solid tumor oncology that offer development paths that are relatively resource efficient and have the potential to generate clinical proof-of-concept data more rapidly than certain other indications, although we may in the future pursue development of programs in other therapeutic areas. While we will opportunistically consider BD Arrangements to advance development of our key programs, we intend to invest our resources in their development even in the absence of BD Arrangements.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Solid Tumor Oncology</w:t>
      </w:r>
      <w:r>
        <w:rPr>
          <w:rFonts w:ascii="Arial;sans-serif" w:hAnsi="Arial;sans-serif"/>
          <w:b w:val="false"/>
          <w:color w:val="000000"/>
          <w:sz w:val="20"/>
        </w:rPr>
        <w:t>. Our solid tumor oncology product candidates NGM707, NGM831, NGM438 and NGM120 and their related compounds are wholly-owned by us.</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NGM707</w:t>
      </w:r>
      <w:r>
        <w:rPr>
          <w:rFonts w:ascii="Arial;sans-serif" w:hAnsi="Arial;sans-serif"/>
          <w:b w:val="false"/>
          <w:color w:val="000000"/>
          <w:sz w:val="20"/>
        </w:rPr>
        <w:t>. NGM707</w:t>
      </w:r>
      <w:r>
        <w:rPr>
          <w:rFonts w:ascii="Arial;sans-serif" w:hAnsi="Arial;sans-serif"/>
          <w:b w:val="false"/>
          <w:color w:val="0E32E1"/>
          <w:sz w:val="20"/>
        </w:rPr>
        <w:t>,</w:t>
      </w:r>
      <w:r>
        <w:rPr>
          <w:color w:val="000000"/>
        </w:rPr>
        <w:t xml:space="preserve"> </w:t>
      </w:r>
      <w:r>
        <w:rPr>
          <w:rFonts w:ascii="Arial;sans-serif" w:hAnsi="Arial;sans-serif"/>
          <w:b w:val="false"/>
          <w:color w:val="000000"/>
          <w:sz w:val="20"/>
        </w:rPr>
        <w:t xml:space="preserve">the lead asset in our myeloid reprogramming and checkpoint inhibition portfolio, is a dual antagonist 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 </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We are conducting an open-label Phase 1/2 clinical trial evaluating NGM707 as a monotherapy and in combination with KEYTRUDA® (pembrolizumab) for the treatment of patients with advanced or metastatic solid tumors. We expect to enroll approximately 220 patients in this trial.</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A Phase 1, Part 1a cohort evaluating NGM707 as a monotherapy was initiated in 2021 and a Phase 1, Part 1b cohort evaluating NGM707 in combination with pembrolizumab was initiated in 2022. Two Phase 2 expansion cohorts evaluating NGM707 in combination with pembrolizumab in specific tumor types were initiated in the first quarter of 2023.</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NGM831</w:t>
      </w:r>
      <w:r>
        <w:rPr>
          <w:rFonts w:ascii="Arial;sans-serif" w:hAnsi="Arial;sans-serif"/>
          <w:b w:val="false"/>
          <w:color w:val="000000"/>
          <w:sz w:val="20"/>
        </w:rPr>
        <w:t xml:space="preserve">. NGM831 is an antagonist antibody that is designed to block the interaction of the Immunoglobulin-like transcript 3, or ILT3 (also known as LILRB4) receptor, </w:t>
      </w:r>
      <w:r>
        <w:rPr>
          <w:rFonts w:ascii="Arial;sans-serif" w:hAnsi="Arial;sans-serif"/>
          <w:b w:val="false"/>
          <w:color w:val="000000"/>
          <w:sz w:val="20"/>
          <w:highlight w:val="white"/>
        </w:rPr>
        <w:t xml:space="preserve">with fibronectin, as well as other cognate ligands. </w:t>
      </w:r>
      <w:r>
        <w:rPr>
          <w:rFonts w:ascii="Arial;sans-serif" w:hAnsi="Arial;sans-serif"/>
          <w:b w:val="false"/>
          <w:color w:val="000000"/>
          <w:sz w:val="20"/>
        </w:rPr>
        <w:t>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We are conducting an open-label Phase 1/1b clinical trial to evaluate NGM831 as a monotherapy and in combination with pembrolizumab for the treatment of patients with advanced or metastatic solid tumors. A Phase 1, Part 1a cohort evaluating NGM831 as a monotherapy and a Phase 1, Part 1b cohort evaluating NGM831 in combination with pembrolizumab were initiated in 2022. Both cohorts are ongoing, and the protocol allows us to enroll up to 80 patients in these two cohorts.</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NGM438</w:t>
      </w:r>
      <w:r>
        <w:rPr>
          <w:rFonts w:ascii="Arial;sans-serif" w:hAnsi="Arial;sans-serif"/>
          <w:b w:val="false"/>
          <w:color w:val="000000"/>
          <w:sz w:val="20"/>
        </w:rPr>
        <w:t>. NGM438 is an antagonist antibody that is designed to inhibit leukocyte-associated immunoglobulin-like receptor 1, or LAIR1, and thereby promote anti-tumor immune responses. NGM438 has the potential to potently block the binding of all collagens to LAIR1, including tumor-derived collagens. Collagens produced by the tumor stroma, meaning the non-malignant, non-immune components of the tumor,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We are conducting an open-label, Phase 1/1b clinical trial to evaluate NGM438 as a monotherapy and in combination with pembrolizumab for the treatment of patients with advanced or metastatic solid tumors. A Phase 1, Part 1a cohort evaluating NGM438 as a monotherapy and a Phase 1, Part 1b cohort evaluating NGM438 in combination with pembrolizumab were initiated in 2022. Both cohorts are ongoing, and the protocol allows us to enroll up to 80 patients in these two cohorts.</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NGM120</w:t>
      </w:r>
      <w:r>
        <w:rPr>
          <w:rFonts w:ascii="Arial;sans-serif" w:hAnsi="Arial;sans-serif"/>
          <w:b w:val="false"/>
          <w:color w:val="000000"/>
          <w:sz w:val="20"/>
        </w:rPr>
        <w:t xml:space="preserve">. NGM120 is an antagonist antibody that binds to glial cell-derived neurotrophic factor receptor alpha-like, or GFRAL, and is 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 in mice.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 xml:space="preserve">We are conducting a Phase 1/2 clinical trial to assess NGM120’s effect on cancer and cancer-related cachexia in patients with select advanced solid tumors, metastatic pancreatic cancer and metastatic castration-resistant prostate cancer, or mCRPC.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trial includes:</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 xml:space="preserve">a Phase 1a cohort evaluating NGM120 as a monotherapy in patients with select advanced solid tumors, </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a Phase 1b cohort evaluating NGM120 in combination with gemcitabine and Nab-paclitaxel in patients with metastatic pancreatic cancer,</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an additional Phase 1b cohort testing NGM120 in combination with one or more lines of hormone therapies in patients with mCRPC, and</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a Phase 2 cohort evaluating NGM120 in combination with gemcitabine and Nab-paclitaxel as first-line treatment in patients with metastatic pancreatic cancer (referred to as the PINNACLES</w:t>
      </w:r>
      <w:r>
        <w:rPr>
          <w:color w:val="000000"/>
        </w:rPr>
        <w:t xml:space="preserve"> </w:t>
      </w:r>
      <w:r>
        <w:rPr>
          <w:rFonts w:ascii="Arial;sans-serif" w:hAnsi="Arial;sans-serif"/>
          <w:b w:val="false"/>
          <w:color w:val="000000"/>
          <w:sz w:val="22"/>
        </w:rPr>
        <w:t>trial)</w:t>
      </w:r>
      <w:r>
        <w:rPr>
          <w:rFonts w:ascii="Arial;sans-serif" w:hAnsi="Arial;sans-serif"/>
          <w:b w:val="false"/>
          <w:color w:val="000000"/>
          <w:sz w:val="20"/>
        </w:rPr>
        <w:t>.</w:t>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All four cohorts have completed enrollment.</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Additional Programs Currently Without Significant Resource Allocation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primarily dependent on our ability to secure potential future BD Arrangements. These programs are in therapeutic areas where clinical development is relatively resource intensive and can have long timelines to generate proof-of-concept data. As a result, we are actively seeking, or intend to seek, as applicable,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are able to secure the additional capital necessary to fund such development. These programs are set forth below:</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NGM621</w:t>
      </w:r>
      <w:r>
        <w:rPr>
          <w:rFonts w:ascii="Arial;sans-serif" w:hAnsi="Arial;sans-serif"/>
          <w:b w:val="false"/>
          <w:color w:val="000000"/>
          <w:sz w:val="20"/>
        </w:rPr>
        <w:t xml:space="preserve">. NGM621 is a humanized Immunoglobulin 1, or IgG1, monoclonal antibody administered via intravitreal, or IVT, injection. NGM621 was engineered to potently bind to, and be a long-acting inhibitor of, complement C3 with the treatment goal of reducing the rate of disease progression in patients with geographic atrophy, or GA, secondary to age-related macular degeneration, or AMD. </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 xml:space="preserve">Aldafermin. </w:t>
      </w:r>
      <w:r>
        <w:rPr>
          <w:rFonts w:ascii="Arial;sans-serif" w:hAnsi="Arial;sans-serif"/>
          <w:b w:val="false"/>
          <w:color w:val="000000"/>
          <w:sz w:val="20"/>
        </w:rPr>
        <w:t>Aldafermin is an engineered analog of human hormone fibroblast growth factor 19, or FGF19, that is administered through a once-daily subcutaneous injection. Aldafermin is wholly-owned by us. In May 2023, we reported topline data from the Phase 2b ALPINE 4 trial of aldafermin in 160 patients with compensated cirrhosis due to non-alcoholic steatohepatitis, or NASH (liver fibrosis stage 4, or F4, by the NASH Clinical Research Network classification). The 48-week trial assessed the efficacy, safety and tolerability of 0.3 mg, 1 mg and 3 mg doses of aldafermin compared to placebo. The primary objective of the ALPINE 4 study was to evaluate the impact on Enhanced Liver Fibrosis, or ELF, score at week 48. The ELF score is a reproducible, quantitative non-invasive liver prognostic test that evaluates liver fibrosis and correlates to liver-related outcomes. The study met its primary endpoint with a statistically significant reduction in ELF score from baseline to week 48 in patients treated with 3 mg of aldafermin versus patients receiving placebo. Patients receiving 3 mg of aldafermin had a 0.5 point greater reduction in ELF at week 48 compared to patients receiving placebo (p-value=0.0003). On the secondary endpoint of fibrosis improvement of ≥1 stage (for which the trial was not statistically powered), 21% (p-value=0.39) and 23% (p-value=0.36) of patients in the 1 mg and 3 mg cohorts, respectively, achieved fibrosis improvement versus 15% in the placebo cohort at week 48. A 0.3 mg aldafermin cohort was part of the original design of the trial and enrolled 7 patients prior to being discontinued in favor of enrolling more patients in the 1 mg and 3 mg arms of the trial. Patients in the 0.3 mg arm were primarily evaluated for safety. Aldafermin was generally well tolerated with no treatment-related serious adverse events and a safety and tolerability profile generally consistent with prior trials of aldafermin, including higher levels of gastrointestinal events in patients treated with aldafermin as compared to patients treated with placebo.</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MK-3655 (NGM313)</w:t>
      </w:r>
      <w:r>
        <w:rPr>
          <w:rFonts w:ascii="Arial;sans-serif" w:hAnsi="Arial;sans-serif"/>
          <w:b w:val="false"/>
          <w:color w:val="000000"/>
          <w:sz w:val="20"/>
        </w:rPr>
        <w:t xml:space="preserve">. MK-3655 (NGM313) is an agonistic antibody discovered by us that selectively activates fibroblast growth factor receptor 1c-beta-klotho, or FGFR1c/KLB, which regulates insulin sensitivity, blood glucose and liver fat and is administered every four weeks through a subcutaneous injection. MK-3655 (NGM313) was licensed by Merck in November 2018 and was being developed by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Merck in patients with NASH and liver fibrosis stage 2 or 3. In April 2023, the license rights granted to Merck with respect to MK-3655 (NGM313) reverted to us and the program is now wholly-owned by us. </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 xml:space="preserve">NGM936. </w:t>
      </w:r>
      <w:r>
        <w:rPr>
          <w:rFonts w:ascii="Arial;sans-serif" w:hAnsi="Arial;sans-serif"/>
          <w:b w:val="false"/>
          <w:color w:val="000000"/>
          <w:sz w:val="20"/>
        </w:rPr>
        <w:t xml:space="preserve">NGM936 is a bispecific T cell engager therapeutic candidate for the treatment of hematologic malignancies that targets ILT3 and cluster of differentiation 3, or CD3. NGM936 is designed to direct T cell mediated killing of ILT3-positive cancer cells while sparing normal hematopoietic stem cells, or HSCs, and minimizing CD3-driven cytokine release. ILT3, a myeloid-cell restricted receptor, has enriched expression in myelomonocytic leukemia, monocytic leukemia and leukemia stem cells but is not expressed on healthy HSCs. This expression profile of ILT3 may make it an effective target for the treatment of monocytic acute myeloid leukemia, or AML, and multiple myeloma. NGM936 has been evaluated in preclinical studies, where it has demonstrated the ability to potently kill ILT3+ AML cells, kill ILT3+ multiple myeloma cells and preserve healthy bone marrow cells.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additional programs that are in various stages of development ranging from functional validation to preclinical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each of our product candidates may be affected by numerous factors, including preclinical data, clinical data, competition, manufacturing capability, sales capability, any future partners, the sufficiency of our cash resources, regulatory matters, third-party payor matters and commercial viability. We do not have any products approved for sale and do not anticipate generating revenue from product sales for the foreseeable future, if ever.</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Business Development and Merck Collaboration Updates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Pursuing BD Arrangements has been and is expected to continue to be a key component of our strategy. Given the breadth of opportunities that have been, and may in the future be, produced by our discovery engine, we are actively seeking, or intend to seek, as applicable, BD Arrangements with third-party partners to progress, in whole or in part, the development of one or more of our product candidates. We believe that this strategy, if successfully implemented, may enable more of the programs in our pipeline, including those in active development by us, to be advanced as effectively and efficiently as possible. As described above, further development of NGM621, aldafermin, MK-3655 (NGM313) and NGM936 is primarily dependent on our ability to secure potential future BD Arrangements and, in the absence of such BD Arrangements, we are unlikely to be able to advance development of those programs unless our portfolio prioritization changes and we are able to secure the additional capital necessary to fund such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collaboration with Merck, described in "Business - Licensing and Collaboration Arrangements - Merck Collaboration" in Part I, Item 1 of the 2022 Annual Report on Form 10-K and Note 5, “Research Collaboration and License Agreements - Merck,” in our notes to the condensed consolidated financial statements included in Part I, Item 1 of this Quarterly Report on Form 10-Q, historically provided us with robust financial support that enabled us to broaden and accelerate our research efforts and to develop more product candidates for major indications than we likely could have advanced on our own. We do not have any committed external source of funds, other than pursuant to our collaboration with Merck under the amended and restated research collaboration, product development and license agreement we entered into with Merck on June 30, 2021, or the Amended Collaboration Agreement. Currently, the only ongoing activities funded under the Amended Collaboration Agreement are ongoing cardiovascular or metabolic-, or CVM-, related activities. In 2023, the R&amp;D funding we receive from Merck under the Amended Collaboration Agreement will be limited and continue to be substantially lower on an annual basis than the research funding previously provided by Merck. In this regard, for the period that started on April 1, 2023 and ends on March 31, 2024, we expect to receive funding of only approximately $4.0 million in the aggregate from Merck for the ongoing CVM-related activities and for certain costs and reimbursements related to the NGM621 program. Funding from Merck after December 31, 2023 is expected to be minimal. The research phase for the CVM-related programs under the Amended Collaboration Agreement will continue through March 31, 2024, unless the parties mutually agree to extend the research phase through March 31, 2026, in which case Merck would provide up to a total of $20.0 million in R&amp;D funding during the additional two years of the CVM program research phase.</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Restructuring</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4, 2023, we announced a restructuring of our workforce pursuant to which our workforce will be reduced by 75 people, or approximately 33% of our existing headcount as of such date. We estimated that we will incur approximately $5.0 million in restructuring charges in connection with the restructuring, consisting of (i) approximately $4.5 million in cash-based expenses related to employee severance and notice period payments, benefits and related costs, and (ii) approximately $0.5 million in non-cash stock-based compensation expense related to the vesting of share-based awards. We expect that the majority of the restructuring charges will be incurred in the second quarter of 2023 and that the execution of the restructuring, including cash payments, will be substantially complete by the end of the second quarter of 2023.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120" w:after="120"/>
        <w:ind w:left="0" w:right="0" w:hanging="360"/>
        <w:jc w:val="both"/>
        <w:rPr/>
      </w:pPr>
      <w:r>
        <w:rPr/>
      </w:r>
    </w:p>
    <w:p>
      <w:pPr>
        <w:pStyle w:val="TextBody"/>
        <w:spacing w:lineRule="auto" w:line="256" w:before="0" w:after="0"/>
        <w:rPr>
          <w:rFonts w:ascii="Arial;sans-serif" w:hAnsi="Arial;sans-serif"/>
          <w:b/>
          <w:i/>
          <w:color w:val="000000"/>
          <w:sz w:val="20"/>
        </w:rPr>
      </w:pPr>
      <w:r>
        <w:rPr>
          <w:rFonts w:ascii="Arial;sans-serif" w:hAnsi="Arial;sans-serif"/>
          <w:b/>
          <w:i/>
          <w:color w:val="000000"/>
          <w:sz w:val="20"/>
        </w:rPr>
        <w:t>Operational Updates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or R&amp;D, resources are focused, and will continue to be focused, on the manufacture and testing of clinical trial materials. If our CROs and CMOs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ongoing COVID-19 pandemic or otherwise, our ongoing and planned trials and possible acceleration or expansion of those trials may be delayed, perhaps substantially, or abandoned, which could materially and adversely affect our business. For example, in 2022, our planned individual new drug application, or IND, submissions for NGM831 and NGM438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 goods and services may negatively impact our business operations and our financial results.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all of our product candidates other than NGM621 and aldafermin are currently manufactured solely at a facility in Lithuania. Following Russia's invasion of Ukraine in February 2022, NATO deployed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July 2022, we entered into an operating lease agreement, or the 2024 Lease Agreement, for our existing corporate office space and facilities at 333 Oyster Point Blvd., South San Francisco, California, which allows us to remain in our existing facilities through December 31, 2033, subject to our compliance with the 2024 Lease Agreement. We also have an option to extend the 2024 Lease Agreement for a period of either eight or ten years after the initial ten-year term of January 1, 2024 to December 31, 2033.</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seek to allocate our capital efficiently and strategically and fund our active development portfolio based on each program’s scientific and other merits. Our discipline has been demonstrated by our decision not to proceed with development activities on multiple potentially viable product candidates for portfolio management and capital conservation reasons to concentrate our resources and focus our execution on our solid tumor oncology programs. Given the substantial decrease in research funding we now receive from Merck as compared to historical periods commensurate with the decreased scope of the collaboration, we need to devote a substantial amount of our own financial resources to fund our R&amp;D programs, and we may need to delay or suspend development activities on product candidates that we consider promising unless and until we are able to raise sufficient additional capital and/or we need to enter into additional BD Arrangements in order to proceed with such development through to regulatory approval.</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Financial Highlights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we have funded our operations primarily through:</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fees received from collaboration partners, which since inception through March 31, 2023 includes reimbursement of R&amp;D expenses of $541.6 million and upfront cash licensing fees of $123.0 million, primarily from Merck, and a payment of $20.0 million from Merck to license MK-3655 (NGM313) and related compounds;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proceeds from private placements of convertible preferred stock prior to our initial public offering, or IPO, including approximately $106.0 million of our Series E convertible preferred stock purchased by Merck;</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net proceeds from our IPO in 2019 of approximately $107.8 million, together with proceeds from the concurrent private placement of shares of common stock to Merck of $65.9 million;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net proceeds of $71.5 million through March 31, 2023 from sales of approximately 4.1 million shares of our common stock under an Open Market Sale Agreement</w:t>
      </w:r>
      <w:r>
        <w:rPr>
          <w:rFonts w:ascii="Arial;sans-serif" w:hAnsi="Arial;sans-serif"/>
          <w:b w:val="false"/>
          <w:color w:val="000000"/>
          <w:sz w:val="13"/>
        </w:rPr>
        <w:t>SM</w:t>
      </w:r>
      <w:r>
        <w:rPr>
          <w:rFonts w:ascii="Arial;sans-serif" w:hAnsi="Arial;sans-serif"/>
          <w:b w:val="false"/>
          <w:color w:val="000000"/>
          <w:sz w:val="20"/>
        </w:rPr>
        <w:t>, or the Sales Agreement, we entered into with Jefferies LLC, or Jefferies, in June 2020.</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At March 31, 2023, we had $231.0 million in cash, cash equivalents and short-term marketable securities.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incurred net losses each year since our inception. As of March 31, 2023, we had an accumulated deficit of $629.3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future BD Arrangements, if any. For further discussion of our financial position and future sources of funding, see “Liquidity and Capital Resources” below.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Financial Operations Overview</w:t>
      </w:r>
    </w:p>
    <w:p>
      <w:pPr>
        <w:pStyle w:val="TextBody"/>
        <w:spacing w:lineRule="auto" w:line="288" w:before="120" w:after="120"/>
        <w:jc w:val="both"/>
        <w:rPr>
          <w:rFonts w:ascii="Arial;sans-serif" w:hAnsi="Arial;sans-serif"/>
          <w:b/>
          <w:color w:val="000000"/>
          <w:sz w:val="20"/>
        </w:rPr>
      </w:pPr>
      <w:r>
        <w:rPr>
          <w:rFonts w:ascii="Arial;sans-serif" w:hAnsi="Arial;sans-serif"/>
          <w:b/>
          <w:color w:val="000000"/>
          <w:sz w:val="20"/>
        </w:rPr>
        <w:t xml:space="preserve">Related Party Revenue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revenue to date has been generated primarily from recognition of license fees and R&amp;D service funding pursuant to our collaboration with Merck. Merck is also a significant stockholder and, as such, collaboration revenue from Merck is referred to as related party revenue.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the Company's inception through March 31, 2023, Merck paid us $616.8 million pursuant to the terms of our collaboration. Due to the nature of our collaboration with Merck and the timing of related revenue recognition, our revenue has fluctuated from period to period in the past and we expect that it will continue to decrease in 2023 given the substantial reduction in the level of funding we will receive from Merck in 2023. After December 31, 2023, we expect funding, and revenue recognized, from Merck to be minimal. As a result, we believe that period-to-period comparisons of our revenue may not be meaningful and should not be relied upon as being indicative of future performance.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related party revenue was as follows (in thousands):</w:t>
      </w:r>
    </w:p>
    <w:tbl>
      <w:tblPr>
        <w:tblW w:w="4434" w:type="dxa"/>
        <w:jc w:val="left"/>
        <w:tblInd w:w="0" w:type="dxa"/>
        <w:tblCellMar>
          <w:top w:w="28" w:type="dxa"/>
          <w:left w:w="28" w:type="dxa"/>
          <w:bottom w:w="28" w:type="dxa"/>
          <w:right w:w="28" w:type="dxa"/>
        </w:tblCellMar>
      </w:tblPr>
      <w:tblGrid>
        <w:gridCol w:w="734"/>
        <w:gridCol w:w="644"/>
        <w:gridCol w:w="647"/>
        <w:gridCol w:w="211"/>
        <w:gridCol w:w="646"/>
        <w:gridCol w:w="109"/>
        <w:gridCol w:w="109"/>
        <w:gridCol w:w="109"/>
        <w:gridCol w:w="109"/>
        <w:gridCol w:w="211"/>
        <w:gridCol w:w="751"/>
        <w:gridCol w:w="154"/>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02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R&amp;D efforts are extensive and costly. Our R&amp;D expenses related to the development of our product candidates consist primarily of: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our CROs in connection with our clinical trials and other related clinical trial fees, when applicable;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acquiring and manufacturing drug substance, drug product and clinical trial materials, and the costs of continued testing, such as process validation testing and stability testing, of drug substance and drug product;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toxicology testing and other research- and preclinical-related studies;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salaries and related overhead expenses, which include stock-based compensation and benefits, for personnel in R&amp;D functions;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consultants for R&amp;D activities;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R&amp;D operating expenses, including facility costs and depreciation expenses; and </w:t>
      </w:r>
    </w:p>
    <w:p>
      <w:pPr>
        <w:pStyle w:val="TextBody"/>
        <w:spacing w:lineRule="auto" w:line="288" w:before="60" w:after="240"/>
        <w:ind w:left="0" w:right="0" w:hanging="360"/>
        <w:jc w:val="both"/>
        <w:rPr/>
      </w:pPr>
      <w:r>
        <w:rPr>
          <w:color w:val="000000"/>
        </w:rPr>
        <w:t>•</w:t>
      </w:r>
      <w:r>
        <w:rPr>
          <w:rFonts w:ascii="Arial;sans-serif" w:hAnsi="Arial;sans-serif"/>
          <w:b w:val="false"/>
          <w:color w:val="000000"/>
          <w:sz w:val="20"/>
        </w:rPr>
        <w:t xml:space="preserve">costs related to compliance with regulatory requirements. </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We need to devote a substantial amount of our own financial resources to our wholly-owned development programs, primarily our solid tumor oncology programs in active ongoing clinical development. As a result, further development of NGM621, aldafermin, MK-3655 (NGM313) and NGM936 is currently primarily dependent on our ability to secure potential future BD Arrangements and, in the absence of such BD Arrangements, we are unlikely to be able to advance development of those programs unless our portfolio prioritization changes and we are able to secure the additional capital necessary to fund such development. For the foreseeable future, we anticipate a significant portion of our financial resources, other than those received from Merck which are dedicated to activities under the Amended Collaboration Agreement, will be directed to activities required to initiate and advance clinical trials of our solid tumor oncology programs.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successful development of our product candidates is highly uncertain. At this time, we cannot reasonably estimate the nature, timing or costs of the efforts that will be necessary to complete the remainder of the development of our product candidates or if we will be able to enter into BD Arrangements or otherwise raise adequate additional capital to meet our funding requirements to support such efforts, particularly outside of our key solid tumor oncology programs. This is due to the numerous risks and uncertainties associated with developing medicines, including the uncertainty of:</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scope, rate of progress, results and expense of our ongoing, as well as any future, clinical trials and other R&amp;D-related activities;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impact and timing of any interactions with regulatory authorities, including timing and receipt of regulatory approvals;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ability to hire and retain key R&amp;D personnel;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manufacturing scale-up challenges, production shortages or other supply disruptions for clinical trial materials, including raw materials and components;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effects of the continuing COVID-19 pandemic on our employees, patients, clinical trial sites and our CROs, CMOs and other service providers;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the timely and quality performance of our CROs, CMOs and other service providers;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ability to expand and enforce our intellectual property portfolio.</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II, Item 1A of this Quarterly Report on Form 10-Q. </w:t>
      </w:r>
    </w:p>
    <w:p>
      <w:pPr>
        <w:pStyle w:val="TextBody"/>
        <w:spacing w:lineRule="auto" w:line="288" w:before="120" w:after="120"/>
        <w:jc w:val="both"/>
        <w:rPr>
          <w:rFonts w:ascii="Arial;sans-serif" w:hAnsi="Arial;sans-serif"/>
          <w:b/>
          <w:color w:val="000000"/>
          <w:sz w:val="20"/>
        </w:rPr>
      </w:pPr>
      <w:r>
        <w:rPr>
          <w:rFonts w:ascii="Arial;sans-serif" w:hAnsi="Arial;sans-serif"/>
          <w:b/>
          <w:color w:val="000000"/>
          <w:sz w:val="20"/>
        </w:rPr>
        <w:t xml:space="preserve">General and Administrative Expenses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our G&amp;A expenses in 2023 will decrease moderately compared to 2022 primarily due to the workforce restructuring implemented in the second quarter of 2023. Beginning in 2024, our G&amp;A expenses will include an increase in operating lease expenses under the 2024 Lease Agreement. Additionally, we anticipate continued costs associated with being a public company, including expenses related to services associated with maintaining compliance with Nasdaq listing rules and related SEC requirements and costs related to insurance, investor relations and compliance with Section 404 of the Sarbanes-Oxley Act of 2002, or the Sarbanes-Oxley Act. In addition, we may continue to incur expenses associated with negotiating and entering into BD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results of operations were as follows (in thousands):</w:t>
      </w:r>
    </w:p>
    <w:tbl>
      <w:tblPr>
        <w:tblW w:w="6581" w:type="dxa"/>
        <w:jc w:val="left"/>
        <w:tblInd w:w="0" w:type="dxa"/>
        <w:tblCellMar>
          <w:top w:w="28" w:type="dxa"/>
          <w:left w:w="28" w:type="dxa"/>
          <w:bottom w:w="28" w:type="dxa"/>
          <w:right w:w="28" w:type="dxa"/>
        </w:tblCellMar>
      </w:tblPr>
      <w:tblGrid>
        <w:gridCol w:w="902"/>
        <w:gridCol w:w="792"/>
        <w:gridCol w:w="795"/>
        <w:gridCol w:w="211"/>
        <w:gridCol w:w="811"/>
        <w:gridCol w:w="109"/>
        <w:gridCol w:w="109"/>
        <w:gridCol w:w="109"/>
        <w:gridCol w:w="109"/>
        <w:gridCol w:w="211"/>
        <w:gridCol w:w="811"/>
        <w:gridCol w:w="109"/>
        <w:gridCol w:w="109"/>
        <w:gridCol w:w="109"/>
        <w:gridCol w:w="109"/>
        <w:gridCol w:w="211"/>
        <w:gridCol w:w="811"/>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 xml:space="preserve">Related Party Revenue from Merck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Revenue decreased $18.7 million in the three months ended March 31, 2023 compared to the same period in 2022 due to a decrease in R&amp;D revenue under the Amended Collaboration Agreement with Merck.</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nature of our collaboration with Merck and the timing of related revenue recognition, our revenue has fluctuated from period to period in the past and we expect that it will continue to decrease in 2023 given the substantial reduction in the level of funding we will receive from Merck. In this regard, for the period that started on April 1, 2023 and ends on March 31, 2024, we expect to receive funding of only approximately $4.0 million in the aggregate from Merck for the ongoing CVM-related activities and for certain costs and reimbursements related to the NGM621 program. After December 31, 2023, we expect funding, and revenue recognized, from Merck to be minimal.</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R&amp;D expenses by program were as follows (in thousands):</w:t>
      </w:r>
    </w:p>
    <w:tbl>
      <w:tblPr>
        <w:tblW w:w="6354" w:type="dxa"/>
        <w:jc w:val="left"/>
        <w:tblInd w:w="0" w:type="dxa"/>
        <w:tblCellMar>
          <w:top w:w="28" w:type="dxa"/>
          <w:left w:w="28" w:type="dxa"/>
          <w:bottom w:w="28" w:type="dxa"/>
          <w:right w:w="28" w:type="dxa"/>
        </w:tblCellMar>
      </w:tblPr>
      <w:tblGrid>
        <w:gridCol w:w="1391"/>
        <w:gridCol w:w="1223"/>
        <w:gridCol w:w="1226"/>
        <w:gridCol w:w="211"/>
        <w:gridCol w:w="751"/>
        <w:gridCol w:w="109"/>
        <w:gridCol w:w="109"/>
        <w:gridCol w:w="109"/>
        <w:gridCol w:w="109"/>
        <w:gridCol w:w="211"/>
        <w:gridCol w:w="751"/>
        <w:gridCol w:w="154"/>
      </w:tblGrid>
      <w:tr>
        <w:trPr/>
        <w:tc>
          <w:tcPr>
            <w:tcW w:w="1391"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External R&amp;D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NGM707 (Anti-ILT2/ILT4 dual antagonist)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NGM438 (LAIR1 antagonist)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Aldafermin (FGF19 analog)</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NGM831 (ILT3 antagonist)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NGM120 (GFRAL antagonist)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NGM621 (C3 inhibitor)</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external R&amp;D expenses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external R&amp;D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expenses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 and unallocated R&amp;D expenses (1)</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spacing w:lineRule="auto" w:line="288" w:before="60" w:after="120"/>
        <w:ind w:left="0" w:right="0" w:hanging="540"/>
        <w:jc w:val="both"/>
        <w:rPr>
          <w:rFonts w:ascii="Arial;sans-serif" w:hAnsi="Arial;sans-serif"/>
          <w:b w:val="false"/>
          <w:color w:val="000000"/>
          <w:sz w:val="16"/>
        </w:rPr>
      </w:pPr>
      <w:r>
        <w:rPr>
          <w:rFonts w:ascii="Arial;sans-serif" w:hAnsi="Arial;sans-serif"/>
          <w:b w:val="false"/>
          <w:color w:val="000000"/>
          <w:sz w:val="16"/>
        </w:rPr>
        <w:t>(1)Internal and unallocated R&amp;D expenses consist primarily of research supplies and consulting fees, which we deploy across multiple R&amp;D programs.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expenses decreased $1.9 million in the three months ended March 31, 2023 compared to the same period in 2022 primarily due to our completed trial of NGM621 and a decrease in expenses for our manufacturing activities and our clinical trials of aldafermin, partially offset by increases in external expenses for our ongoing clinical trials of our solid tumor oncology portfolio and personnel-related expenses.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decrease moderately in 2023 compared to 2022 as we suspend development activities related to NGM621 and our other preclinical ophthalmology programs, complete activities related to ALPINE 4 and focus on the continued advancement of our solid tumor oncology portfolio.</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 xml:space="preserve">General and Administrative Expenses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G&amp;A expenses increased $0.9 million in the three months ended March 31, 2023 compared to the same period in 2022 primarily due to an increase of $1.2 million in legal-related expenses and $0.5 million in compensation-related expenses, partially offset by a decrease of $0.8 million in depreciation expense.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our G&amp;A expenses in 2023 will decrease moderately compared to 2022 primarily due to the workforce restructuring implemented in the second quarter of 2023.</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Interest Income, net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Interest income, net, increased $2.4 million in the three months ended March 31, 2023 compared to the same period in 2022 primarily due to higher yielding investments.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20"/>
        <w:jc w:val="center"/>
        <w:rPr>
          <w:rFonts w:ascii="Arial;sans-serif" w:hAnsi="Arial;sans-serif"/>
          <w:b/>
          <w:color w:val="000000"/>
          <w:sz w:val="20"/>
        </w:rPr>
      </w:pPr>
      <w:r>
        <w:rPr>
          <w:rFonts w:ascii="Arial;sans-serif" w:hAnsi="Arial;sans-serif"/>
          <w:b/>
          <w:color w:val="000000"/>
          <w:sz w:val="20"/>
        </w:rPr>
        <w:t>Liquidity and Capital Resources</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Funding Requirements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approved for commercial sale, have not generated any revenue from product sales to date and we are not and may never be profitable. We have incurred losses in each year since commencing operations, and we expect to incur significant operating losses in 2023 and over the next several years. As of March 31, 2023, we had an accumulated deficit of $629.3 million, and we expect our accumulated deficit will continue to increase over time.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an active discovery research group and have spent significant resources to fund R&amp;D of multiple pipeline programs. Our pipeline includes four solid tumor oncology programs, NGM707, NGM831, NGM438 and NGM120, in active ongoing clinical development. We are currently focusing most of our execution efforts and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3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resources on these programs as our substantial research, development, clinical trial and related activities continue. While we will opportunistically consider BD Arrangements to advance development of these key programs, we intend to invest our resources in their development even in the absence of BD Arrangements.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primarily dependent on our ability to secure potential future BD Arrangements. We are actively seeking, or intend to seek, as applicable,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are able to secure the additional capital necessary to fund such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Prior to 2022, we received substantial R&amp;D funding from our collaboration with Merck. However, under the narrower scope of the Amended Collaboration Agreement, R&amp;D funding from Merck beginning April 2022 was and is expected to continue to be substantially lower than the R&amp;D funding previously provided by Merck. For the period that started on April 1, 2023 and ends on March 31, 2024, we expect to receive funding of only approximately $4.0 million in the aggregate from Merck for activities remaining under the Amended Collaboration Agreement and for certain costs and reimbursements related to the NGM621 program. Funding from Merck after December 31, 2023 is expected to be minimal.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cash requirements for fiscal year 2023 will continue to be driven by our R&amp;D and G&amp;A expenses. In 2022 and 2021, our R&amp;D expenses were $181.1 million and $161.7 million, respectively. In 2023, we expect our R&amp;D expenses to decrease moderately compared to 2022 as we suspend development activities related to NGM621 and our other preclinical ophthalmology programs, complete activities related to ALPINE 4 and focus on the continued advancement of our solid tumor oncology portfolio. In 2022 and 2021, our G&amp;A expenses were $40.5 million and $36.9 million, respectively. In 2023, we expect our G&amp;A expenses will decrease moderately compared to 2022 primarily due to the workforce restructuring implemented in the second quarter of 2023. Beginning in 2024, our operating lease costs will increase pursuant to the 2024 Lease Agreement we entered into in July 2022 for our current corporate office space and facilities in South San Francisco, California. Our current sublease will expire on December 31, 2023. The 2024 Lease Agreement will commence on January 1, 2024 and expire on December 31, 2033. We will pay an initial monthly base rent of approximately $0.9 million for the first year, which is subject to increase at an annual rate of 3.5% each year thereafter, plus certain operating and tax expenses.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our existing cash, cash equivalents and short-term marketable securities will be sufficient to fund our operations for at least twelve months from the date this Quarterly Report on Form 10-Q is filed. Moreover, based on our current development plans and related assumptions, we believe our current cash position is sufficient to fund our key solid tumor oncology programs through generation of proof-of-concept data. We have based these estimates on plans and assumptions that may prove to be insufficient or inaccurate (for example, with respect to anticipated costs, timing or success of certain activities), and we could utilize our available capital resources sooner than we currently expect. For example, although we implemented a workforce restructuring in the second quarter of 2023 as part of our broader efforts designed to reduce our operating expenses, we may not achieve the expected benefits of our cost preservation efforts on the expected timeline, or at all, and we could otherwise consume capital more rapidly than we currently anticipate.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 Nonetheless, in order to advance our current and potential future product candidates through development and to regulatory approval and commercialization, we need to raise significant additional capital and/or we need to enter into BD Arrangements to obtain funding or other resources for one or more of our wholly-owned 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Sources of Liquidity</w:t>
      </w:r>
    </w:p>
    <w:p>
      <w:pPr>
        <w:pStyle w:val="TextBody"/>
        <w:spacing w:lineRule="auto" w:line="288" w:before="180" w:after="120"/>
        <w:jc w:val="both"/>
        <w:rPr>
          <w:rFonts w:ascii="Arial;sans-serif" w:hAnsi="Arial;sans-serif"/>
          <w:b/>
          <w:i/>
          <w:color w:val="000000"/>
          <w:sz w:val="20"/>
        </w:rPr>
      </w:pPr>
      <w:r>
        <w:rPr>
          <w:rFonts w:ascii="Arial;sans-serif" w:hAnsi="Arial;sans-serif"/>
          <w:b/>
          <w:i/>
          <w:color w:val="000000"/>
          <w:sz w:val="20"/>
        </w:rPr>
        <w:t>Cash and Investments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March 31, 2023, we had cash and cash equivalents of $67.5 million and short-term marketable securities of $163.5 million.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120" w:after="120"/>
        <w:ind w:left="0" w:right="0" w:hanging="360"/>
        <w:jc w:val="both"/>
        <w:rPr/>
      </w:pPr>
      <w:r>
        <w:rPr/>
      </w:r>
    </w:p>
    <w:p>
      <w:pPr>
        <w:pStyle w:val="TextBody"/>
        <w:spacing w:lineRule="auto" w:line="288" w:before="180" w:after="120"/>
        <w:jc w:val="both"/>
        <w:rPr>
          <w:rFonts w:ascii="Arial;sans-serif" w:hAnsi="Arial;sans-serif"/>
          <w:b/>
          <w:i/>
          <w:color w:val="000000"/>
          <w:sz w:val="20"/>
        </w:rPr>
      </w:pPr>
      <w:r>
        <w:rPr>
          <w:rFonts w:ascii="Arial;sans-serif" w:hAnsi="Arial;sans-serif"/>
          <w:b/>
          <w:i/>
          <w:color w:val="000000"/>
          <w:sz w:val="20"/>
        </w:rPr>
        <w:t>Merck Collaboration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revenue we receive under the Amended Collaboration Agreement with Merck is currently our only source of revenue. For the period that started on April 1, 2023 and ends on March 31, 2024, we expect to receive funding of only approximately $4.0 million in the aggregate from Merck for the ongoing CVM-related activities and for certain costs and reimbursements related to the NGM621 program. See “Overview of Our Business – Business Development and Merck Collaboration Updates” above.</w:t>
      </w:r>
    </w:p>
    <w:p>
      <w:pPr>
        <w:pStyle w:val="TextBody"/>
        <w:spacing w:lineRule="auto" w:line="288" w:before="180" w:after="120"/>
        <w:jc w:val="both"/>
        <w:rPr>
          <w:rFonts w:ascii="Arial;sans-serif" w:hAnsi="Arial;sans-serif"/>
          <w:b/>
          <w:i/>
          <w:color w:val="000000"/>
          <w:sz w:val="20"/>
        </w:rPr>
      </w:pPr>
      <w:r>
        <w:rPr>
          <w:rFonts w:ascii="Arial;sans-serif" w:hAnsi="Arial;sans-serif"/>
          <w:b/>
          <w:i/>
          <w:color w:val="000000"/>
          <w:sz w:val="20"/>
        </w:rPr>
        <w:t>Other Sources of Capital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June 2020, we entered into the Sales Agreement with Jefferies. In accordance with the terms of the Sales Agreement, we may offer and sell shares of our common stock having an aggregate offering price of up to $150.0 million from time to time through Jefferies, acting as our sales agent. As of December 31, 2022 and March 31, 2023, $76.2 million of our common stock remained available to be sold under the Sales Agreement, subject to conditions specified in the Sales Agreement.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plan to finance our future cash needs through public or private equity or debt offerings, including under the Sales Agreement, BD Arrangements or a combination of these potential financing sources. Additional capital may not be available in sufficient amounts, on reasonable terms or when we need it, if at all.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While the long-term economic impact of either the COVID-19 pandemic or the conflict between Russia and Ukraine is difficult to assess or predict, each of these events has caused significant disruptions to the global financial markets and contributed to a general global economic slowdown. Furthermore, inflation rates across the globe have increased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Moreover, the recent closures of Silicon Valley Bank, or SVB, and Signature Bank have resulted in broader financial institution liquidity risk and concerns. Although as of March 31, 2023, we had only approximately $6.0 million in deposits and other accounts with SVB, which is now a division of First Citizens Bank, consisting of $4.0 million in letters of credit related to our facilities leases and approximately $1.9 million held in a sweep account used to purchase shares in money-market funds through SVB, and we incurred no losses as a result of the closure of SVB, future adverse developments with respect to specific financial institutions or the broader financial services industry may lead to market-wide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cash equivalents and investments, including transferring funds, making payments or receiving funds may be threatened and our ability to raise additional capital could be substantially impaired, any of which could materially and adversely affect our business and financial condition. In any event, if the financial market disruptions and economic slowdown deepen or persist, we may not be able to access additional capital on favorable terms, or at all, which could negatively affect our financial condition and our ability to pursue our business strategy.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we may opportunistically consider BD Arrangements to advance development of our key solid tumor oncology programs, we are actively seeking, or intend to seek, as applicable, BD Arrangements with third-party partners to progress, in whole or in part, the development of one or more of our other programs whose further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development is primarily dependent on our ability to secure potential future BD Arrangements. We believe that this strategy, if successfully implemented, may enable more of the product candidates in our pipeline to be advanced as effectively and efficiently as possible. If we are unable to secure BD Arrangements for NGM621 and our preclinical ophthalmology programs, aldafermin, MK-3655 (NGM313) and NGM936, we may discontinue or abandon any or all of them altogether, in which case we will not realize any return on our investments in these programs. Even if we are successful in securing BD Arrangements for these programs, we will likely have limited control over the amount and timing of resources that our partners dedicate to the development or commercialization of the applicable product candidates. Our ability to generate revenue from any such BD Arrangement will depend on the specific terms of the BD Arrangement.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are unable to raise adequate additional capital through public or private equity or debt offerings, BD Arrangements or otherwise, on acceptable terms or at all, we may be delayed in or prevented from pursuing our planned and any future development and commercialization efforts, which will have a material adverse effect on our business, operating results and prospects, or we may be required to cease operations altogether.</w:t>
      </w:r>
    </w:p>
    <w:p>
      <w:pPr>
        <w:pStyle w:val="TextBody"/>
        <w:spacing w:lineRule="auto" w:line="288" w:before="180" w:after="120"/>
        <w:jc w:val="both"/>
        <w:rPr>
          <w:rFonts w:ascii="Arial;sans-serif" w:hAnsi="Arial;sans-serif"/>
          <w:b/>
          <w:color w:val="000000"/>
          <w:sz w:val="20"/>
        </w:rPr>
      </w:pPr>
      <w:r>
        <w:rPr>
          <w:rFonts w:ascii="Arial;sans-serif" w:hAnsi="Arial;sans-serif"/>
          <w:b/>
          <w:color w:val="000000"/>
          <w:sz w:val="20"/>
        </w:rPr>
        <w:t>Cash Flow Activity</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cash flow activity for the periods indicated (in thousands):</w:t>
      </w:r>
    </w:p>
    <w:tbl>
      <w:tblPr>
        <w:tblW w:w="7914" w:type="dxa"/>
        <w:jc w:val="left"/>
        <w:tblInd w:w="0" w:type="dxa"/>
        <w:tblCellMar>
          <w:top w:w="28" w:type="dxa"/>
          <w:left w:w="28" w:type="dxa"/>
          <w:bottom w:w="28" w:type="dxa"/>
          <w:right w:w="28" w:type="dxa"/>
        </w:tblCellMar>
      </w:tblPr>
      <w:tblGrid>
        <w:gridCol w:w="1913"/>
        <w:gridCol w:w="1678"/>
        <w:gridCol w:w="1689"/>
        <w:gridCol w:w="211"/>
        <w:gridCol w:w="811"/>
        <w:gridCol w:w="109"/>
        <w:gridCol w:w="109"/>
        <w:gridCol w:w="109"/>
        <w:gridCol w:w="109"/>
        <w:gridCol w:w="211"/>
        <w:gridCol w:w="811"/>
        <w:gridCol w:w="154"/>
      </w:tblGrid>
      <w:tr>
        <w:trPr/>
        <w:tc>
          <w:tcPr>
            <w:tcW w:w="1913"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Arial;sans-serif" w:hAnsi="Arial;sans-serif"/>
          <w:b/>
          <w:i/>
          <w:color w:val="000000"/>
          <w:sz w:val="20"/>
        </w:rPr>
      </w:pPr>
      <w:r>
        <w:rPr>
          <w:rFonts w:ascii="Arial;sans-serif" w:hAnsi="Arial;sans-serif"/>
          <w:b/>
          <w:i/>
          <w:color w:val="000000"/>
          <w:sz w:val="20"/>
        </w:rPr>
        <w:t xml:space="preserve">Operating Activities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three months ended March 31, 2023, net cash used in operating activities was $41.8 million, which consisted of a net loss of $47.6 million, adjusted for non-cash charges of $8.7 million and a change in operating assets and liabilities of $2.9 million. The non-cash charges consisted primarily of stock-based compensation expense of $8.5 million. The change in operating assets and liabilities was mainly driven by a decrease in accrued liabilities of $13.4 million partially offset by an increase in the related party receivable of $6.3 million and an increase in accounts payable of $4.8 million.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three months ended March 31, 2022, net cash used in operating activities was $35.7 million, which consisted of a net loss of $32.5 million, adjusted for non-cash charges of $10.7 million and a change in operating assets and liabilities of $14.0 million. The non-cash charges consisted primarily of stock-based compensation expense of $7.8 million, depreciation expense of $1.4 million and amortization of a premium on marketable securities of $0.5 million. The change in operating assets and liabilities was mainly driven by decreases in contract liabilities of $12.7 million and accrued liabilities of $4.7 million, partially offset by an increase in the related party receivable of $4.8 million.</w:t>
      </w:r>
    </w:p>
    <w:p>
      <w:pPr>
        <w:pStyle w:val="TextBody"/>
        <w:spacing w:lineRule="auto" w:line="288" w:before="180" w:after="120"/>
        <w:jc w:val="both"/>
        <w:rPr>
          <w:rFonts w:ascii="Arial;sans-serif" w:hAnsi="Arial;sans-serif"/>
          <w:b/>
          <w:i/>
          <w:color w:val="000000"/>
          <w:sz w:val="20"/>
        </w:rPr>
      </w:pPr>
      <w:r>
        <w:rPr>
          <w:rFonts w:ascii="Arial;sans-serif" w:hAnsi="Arial;sans-serif"/>
          <w:b/>
          <w:i/>
          <w:color w:val="000000"/>
          <w:sz w:val="20"/>
        </w:rPr>
        <w:t>Investing Activities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three months ended March 31, 2023, net cash provided by investing activities was $35.6 million, which consisted primarily of $50.8 million in net proceeds on maturity of marketable securities offset by purchases of marketable securities of $14.5 million.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three months ended March 31, 2022, net cash used in investing activities was $6.9 million, which consisted primarily of purchases of marketable securities of $86.9 million partially offset by $80.3 million in net proceeds on maturity of marketable securities.</w:t>
      </w:r>
    </w:p>
    <w:p>
      <w:pPr>
        <w:pStyle w:val="TextBody"/>
        <w:spacing w:lineRule="auto" w:line="288" w:before="180" w:after="120"/>
        <w:jc w:val="both"/>
        <w:rPr>
          <w:rFonts w:ascii="Arial;sans-serif" w:hAnsi="Arial;sans-serif"/>
          <w:b/>
          <w:i/>
          <w:color w:val="000000"/>
          <w:sz w:val="20"/>
        </w:rPr>
      </w:pPr>
      <w:r>
        <w:rPr>
          <w:rFonts w:ascii="Arial;sans-serif" w:hAnsi="Arial;sans-serif"/>
          <w:b/>
          <w:i/>
          <w:color w:val="000000"/>
          <w:sz w:val="20"/>
        </w:rPr>
        <w:t>Financing Activities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both the three months ended March 31, 2023 and March 31, 2022, net cash provided by financing activities consisted of proceeds from our employee equity incentive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Contractual Obligations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contractual obligations related to our lease liabilities. In July 2022, we entered into the 2024 Lease Agreement for the corporate office space and facilities in South San Francisco, California that we currently occupy pursuant to a sublease agreement scheduled to expire on December 31, 2023. The initial term of the 2024 Lease Agreement will commence on January 1, 2024 and expire on December 31, 2033. Base rent during the initial ten-year term of the 2024 Lease Agreement will total $124.1 million. See Note 6 to our condensed consolidated financial statements included in Part I, Item 1,“Financial Statements” of this Quarterly Report on Form 10-Q for additional information.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or may not include cancellation fees. Given that the amount and timing related to such payments are uncertain, they are not considered to be contractual obligations. As of March 31, 2023, we had not accrued for any termination or cancellation charges for any of these agreements as these were not considered probable. Significant portions of our R&amp;D resources are focused, and will continue to be focused, on the manufacture and testing of clinical trial materials. See "Liquidity and Capital Resources - Funding Requirements" above for information regarding our expected R&amp;D spend.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condensed consolidated balance sheets and are not considered to be contractual obligations. See "Business - Licensing and Collaboration Arrangements" in Part I, Item 1 of our 2022 Annual Report on Form 10-K for additional information regarding our current in-license agreements.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Critical Accounting Policies and Estimates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Recent Accounting Pronouncements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See Note 2 to our condensed consolidated financial statements included in Part I, Item 1, “Financial Statements,” of this Quarterly Report on Form 10-Q for a description of recent accounting pronouncements applicable to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March 31, 2023, there were no material changes to our market risk disclosures as set forth in Part II, Item 7A “Quantitative and Qualitative Disclosures About Market Risk” in our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March 31, 2023, management, with the participation of our Chief Executive Officer and Chief Financial Officer, performed an evaluation of the effectiveness of the design and operation of our disclosure controls and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2023, the design and operation of our disclosure controls and procedures were effective at a reasonable assurance level.</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quarter ended March 31, 2023, there have been no changes to our internal control over financial reporting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not currently a party to any material litigation or other material legal proceedings.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Quarterly Report on Form 10-Q, including in Part I, Item 2, “Management’s Discussion and Analysis of Financial Condition and Results of Operations” and in our condensed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Quarterly Report on Form 10-Q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Risk Factor Summary</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immediately following this risk factor summary as part of your evaluation of an investment in our common stock.</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need to successfully complete rigorous preclinical and clinical testing of our product candidates before we can seek regulatory approval, and the regulatory approval processes of the U.S. Food and Drug Administration, or FDA, and comparable foreign health authorities are lengthy and inherently unpredictable, and if we are not successful at each step of the process, commercialization of our product candidates will be delayed or prevented.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product candidates are in early stages of development, with our most advanced product candidates only in Phase 2 development.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product candidates may fail to demonstrate safety and efficacy in ongoing and future clinical trials, may never achieve regulatory approval and may not be able to be successfully commercialized due to competition or other factors.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have incurred net losses every year since our inception, we have no source of product revenue, we expect to continue to incur significant operating losses and we may never become profitable.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All of our revenue for recent periods has been received from a single collaboration partner, Merck Sharp &amp; Dohme LLC, or Merck, and that revenue will continue to be substantially lower in 2023 and minimal thereafter.</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need significant additional capital to proceed with development and commercialization of our current and potential future product candidates and to finance our other operations, and that additional capital may not be available to us on acceptable terms, or at all; as a result, we may need to significantly delay, scale back or discontinue development of or abandon some or all of our product candidates, or scale back or discontinue our discovery research efforts, or we may be required to cease operations altogether.</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may depend in the future on collaboration, out licensing, partnership or other business development arrangements, or BD Arrangements, with third-party partners for the development and commercialization of our product candidates and for revenue and, if we are unable to secure those BD Arrangements, or if any future BD Arrangements are not successful, we may not be able to capitalize on the market potential of our product candidates or continue their development. BD Arrangements involve numerous risks, any of which could materially and adversely affect our business and financial condition.</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While we may opportunistically consider BD Arrangements to advance development of our key solid tumor oncology programs, we are actively seeking, or intend to seek, as applicable, BD Arrangements with third-party partners to progress, in whole or in part, the development of one or more of our other programs whose further development is primarily dependent on our ability to secure potential future BD Arrangements, and if we are unable to secure BD Arrangements to support these programs, which include NGM621, aldafermin, MK-3655 (NGM313) and NGM936, we are unlikely to be able to advance their development unless our portfolio prioritization changes and we are able to secure the additional capital necessary to fund such development, and may discontinue or abandon any or all of these programs altogether, in which case we will not realize any return on our investments in those programs.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may not be able to obtain and maintain other relationships with third-party partners and service providers that are necessary to develop, manufacture and commercialize some or all of our product candidates.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rely completely on contract manufacturers for the manufacture of our product candidates and the process of manufacturing, and conducting release testing for, our biologic product candidates is complex, highly regulated and subject to many risks, any of which could substantially increase our costs and limit supply of our product candidates and any future products needed for clinical trials and commercialization.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product candidates other than NGM621 and aldafermin are currently manufactured at a facility in Lithuania. The ongoing conflict between Russia and Ukraine and the retaliatory measures taken or that may be taken by the United States, NATO and others against Russia create global security concerns, any or all of which could disrupt our supply chain and adversely affect our ability to conduct ongoing and future clinical trials of our product candidates and our ability to raise capital on favorable terms.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may not successfully identify new product candidates to expand our development pipeline.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future success depends in part on our ability to attract and retain highly skilled employees, including members of our current senior management team.</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face substantial competition, which may result in others discovering, developing or commercializing products before, or more successfully than, us.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business could be materially and adversely affected in the future by effects of disease outbreaks, epidemics and pandemics, including the COVID-19 pandemic.</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success depends in significant part upon our ability to obtain and maintain intellectual property protection for our products and technologies.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principal stockholders, including entities affiliated with The Column Group, Merck and our management, own a substantial percentage of our stock and will be able to exert significant control over matters subject to stockholder approval.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We or third parties we rely on or partner with could experience a cybersecurity incident that could harm our business.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market price of our common stock has been and may continue to be volatile, and you could lose all or part of your investment.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continue to incur increased costs as a result of operating as a public company and our management devotes substantial time to public company compliance initiatives; for example, we are obligated to develop and maintain proper and effective internal control over financial reporting and to comply with the requirements of Section 404 of the Sarbanes-Oxley Act of 2002, or the Sarbanes-Oxley Act.</w:t>
      </w:r>
    </w:p>
    <w:p>
      <w:pPr>
        <w:pStyle w:val="TextBody"/>
        <w:spacing w:lineRule="auto" w:line="288" w:before="240" w:after="120"/>
        <w:ind w:left="0" w:right="0" w:hanging="360"/>
        <w:jc w:val="center"/>
        <w:rPr>
          <w:rFonts w:ascii="Arial;sans-serif" w:hAnsi="Arial;sans-serif"/>
          <w:b/>
          <w:color w:val="000000"/>
          <w:sz w:val="20"/>
        </w:rPr>
      </w:pPr>
      <w:r>
        <w:rPr>
          <w:rFonts w:ascii="Arial;sans-serif" w:hAnsi="Arial;sans-serif"/>
          <w:b/>
          <w:color w:val="000000"/>
          <w:sz w:val="20"/>
        </w:rPr>
        <w:t>Risks Related to Our Financial Condition and Capital Needs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have incurred net losses every year since our inception and have no source of product revenue. We expect to continue to incur significant operating losses and may never become profitable.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no products approved for commercial sale and have not generated any revenue from product sales to date. As a result, we are not profitable and have incurred losses in each year since commencing operations. Our net losses were $162.7 million, $120.3 million and $102.5 million for the years ended December 31, 2022, 2021 and 2020, respectively. As of March 31, 2023, we had an accumulated deficit of $629.3 million.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expect to continue to incur significant research and development, or R&amp;D, and other expenses related to our ongoing operations for the foreseeable future, particularly to fund R&amp;D of, and seek regulatory approvals for, our product candidates. We incurred substantial net operating losses in 2022 and expect to continue to incur significant operating losses in 2023 and over the next several years as our research, development, manufacturing, preclinical studies, clinical trial and related activities increase. We expect our accumulated deficit will also increase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pPr>
      <w:r>
        <w:rPr>
          <w:rFonts w:ascii="Arial;sans-serif" w:hAnsi="Arial;sans-serif"/>
          <w:b w:val="false"/>
          <w:color w:val="000000"/>
          <w:sz w:val="20"/>
        </w:rPr>
        <w:t>in future periods. The size of our future net losses will depend, in part, on the amount of our expenses and our ability to generate revenue. All of our revenue from recent periods has been provided under our collaboration with Merck under the amended and restated research collaboration, product development and license agreement we entered into with Merck on June 30, 2021, or the Amended Collaboration Agreement. That revenue will be substantially lower in 2023 than in 2022 and prior years and minimal thereafter. See the risk factor titled “</w:t>
      </w:r>
      <w:r>
        <w:rPr>
          <w:rFonts w:ascii="Arial;sans-serif" w:hAnsi="Arial;sans-serif"/>
          <w:b w:val="false"/>
          <w:i/>
          <w:color w:val="000000"/>
          <w:sz w:val="20"/>
        </w:rPr>
        <w:t>All of our revenue for recent periods has been received from a single collaboration partner, and that revenue will continue to be substantially lower going forward as compared to historical periods.</w:t>
      </w:r>
      <w:r>
        <w:rPr>
          <w:color w:val="000000"/>
        </w:rPr>
        <w: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prior losses and expected future losses have had and will continue to have an adverse effect on our stockholders’ equity and working capital.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generate any product revenue from our current or future product candidates also depends on a number of additional factors, including our ability or the ability of any potential future third-party partner to:</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successfully complete research and clinical development of current and future product candidates and obtain regulatory approval for those product candidates;</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establish and maintain supply and manufacturing relationships with third parties, and ensure adequate, scaled up and legally compliant manufacturing of bulk drug substances and drug products to maintain sufficient supply;</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launch and commercialize any product candidates for which marketing approval is obtained, if any, and, if launched independently by us without a partner, successfully establish a sales force and marketing and distribution infrastructure;</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demonstrate the necessary safety data (and, if accelerated approval is obtained, verify the clinical benefit) post-approval to ensure continued regulatory approval;</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obtain coverage and adequate product reimbursement from third-party payors, including government payors, for any approved products;</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achieve market acceptance for any approved products;</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establish, maintain, protect and enforce our intellectual property rights; and</w:t>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attract, hire and retain qualified personnel.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successfully complete development and regulatory processes for any product candidates that we take forward,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All of our revenue for recent periods has been received from a single collaboration partner, and that revenue will continue to be substantially lower going forward as compared to historical periods.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have any committed external source of funds, other than pursuant to our collaboration with Merck, which has provided us with substantial financial support since 2015. However, as described under “Management’s Discussion and Analysis of Financial Condition and Results of Operations-Overview of Our Business-Business Development and Merck Collaboration Updates” in Part I, Item 2 of this Quarterly Report on Form 10-Q, in 2023 the R&amp;D funding we receive from Merck under the collaboration will continue to be substantially lower on an annual basis than the research funding previously provided by Merck. In this regard, for the period that started on April 1, 2023 and ends on March 31, 2024, we expect to receive funding of only approximately $4.0 million in the aggregate from Merck for the ongoing activities under the Amended Collaboration Agreement and for certain costs and reimbursements related to the NGM621 program. Funding from Merck after December 31, 2023 is expected to be minimal.</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any event, we need to devote a substantial amount of our own financial resources to our R&amp;D programs, particularly with respect to our wholly-owned programs that now include all of our ophthalmology programs and MK-3655 (NGM313). In addition, our funding requirements would increase for any preclinical programs that remain within the scope of the collaboration in the event Merck does not elect to license these programs and we decide to continue them, in the event Merck elects to terminate its license to any program it licenses and we decide to continue it or in the event we opt to co-develop any Merck-licensed programs. For example, as a result of Merck’s decision not to exercise its option to license NGM621 and its related compounds, as described below, NGM621 and its related compounds are now wholly-owned by us. Further development of NGM621 is primarily dependent on our ability to secure potential future BD Arrangements with third-party partners and, in the absence of such BD Arrangements, we are unlikely to be able to advance development of NGM621 unless our portfolio prioritization changes and we are able to secure the additional capital necessary to fund such development. In addition, as a result of Merck's decision to terminate its license to MK-3655 (NGM313) and its related compounds, the license rights granted to Merck in 2018 with respect to MK-3655 (NGM313) reverted to us and the program is now wholly-owned by us. Further development of MK-3655 (NGM313) is also primarily dependent on our ability to secure potential future BD Arrangements and, in the absence of such BD Arrangements, we are unlikely to be able to advance development of MK-3655 (NGM313) unless our portfolio prioritization changes and we are able to secure the additional capital necessary to fund such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Other than our Amended Collaboration Agreement with Merck, which is limited in scope and duration, and may be unilaterally terminated by Merck under certain circumstances, we are not party to any agreements that could provide us with future revenue. Accordingly, in order to advance our current and potential future product candidates through development and to regulatory approval and commercialization, we need to raise significant additional capital and/or we will need to enter into BD Arrangements to obtain funding or other resources for one or more of our wholly-owned 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need significant additional capital to proceed with development and commercialization of our current and potential future product candidates and our other operations. We may not be able to access sufficient capital on acceptable terms, if at all,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an R&amp;D company, our operations have consumed substantial amounts of cash since inception, and we need substantial additional capital to finance our operations and pursue our strategy, both in the short and the long term, and the amount of funding we will need depends on many factors, including:</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initiation, progress, timing, delays, costs and results of preclinical studies and clinical trials for our current and future product candidates;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cost and timing of selecting, auditing and potentially validating a manufacturing site for later-stage clinical and commercial-scale manufacturing;</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market acceptance of any approved product candidates, including product pricing and product reimbursement by third-party payors;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whether Merck exercises its option to license any preclinical candidates that remain within the scope of the collaboration at the license option point as specified in the Amended Collaboration Agreement for each such candidate;</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whether Merck terminates the research phase of the collaboration under pre-specified circumstances set forth in the Amended Collaboration Agreement or terminates a program that it has licensed, such as its decision to terminate its license for MK-3655 (NGM313) and its related compounds;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cost of potentially acquiring, licensing or investing in additional businesses, products, product candidates and technologies;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cost of establishing sales, marketing and distribution capabilities for any of our product candidates for which we may receive regulatory approval and that we determine to commercialize ourselves or in collaboration with partners.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believe that our existing cash, cash equivalents and short-term marketable securities will be sufficient to fund our operations for at least twelve months from the date this Quarterly Report on Form 10-Q is filed. Moreover, based on our current development plans and related assumptions, we believe our current cash position is sufficient to fund our key solid tumor oncology programs through generation of proof-of-concept data. We have based these estimates on plans and assumptions that may prove to be insufficient or inaccurate (for example, with respect to anticipated costs, timing or success of certain activities), and we could utilize our available capital resources sooner than we currently expect. For example, although we implemented a workforce restructuring in the second quarter of 2023 as part of our broader efforts designed to reduce our operating expenses, we may not achieve the expected benefits of our cost preservation efforts on the expected timeline, or at all, and we could otherwise consume capital more rapidly than we currently anticipate.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pStyle w:val="TextBody"/>
        <w:spacing w:lineRule="auto" w:line="288" w:before="120" w:after="120"/>
        <w:ind w:left="0" w:right="0" w:firstLine="720"/>
        <w:jc w:val="both"/>
        <w:rPr/>
      </w:pPr>
      <w:r>
        <w:rPr>
          <w:rFonts w:ascii="Arial;sans-serif" w:hAnsi="Arial;sans-serif"/>
          <w:b w:val="false"/>
          <w:color w:val="000000"/>
          <w:sz w:val="20"/>
        </w:rPr>
        <w:t>We plan to finance our future cash needs through public or private equity or debt offerings, including under the Open Market Sale Agreement</w:t>
      </w:r>
      <w:r>
        <w:rPr>
          <w:rFonts w:ascii="Arial;sans-serif" w:hAnsi="Arial;sans-serif"/>
          <w:b w:val="false"/>
          <w:color w:val="000000"/>
          <w:sz w:val="13"/>
        </w:rPr>
        <w:t>SM</w:t>
      </w:r>
      <w:r>
        <w:rPr>
          <w:rFonts w:ascii="Arial;sans-serif" w:hAnsi="Arial;sans-serif"/>
          <w:b w:val="false"/>
          <w:color w:val="000000"/>
          <w:sz w:val="20"/>
        </w:rPr>
        <w:t>, or the Sales Agreement, we entered into with Jefferies LLC in June 2020, BD Arrangements or a combination of these potential financing sources. Additional capital may not be available in sufficient amounts, on reasonable terms or when we need it, if at all. While the long-term economic impact of either the COVID-19 pandemic or the conflict between Russia and Ukraine is difficult to assess or predict, each of these events has caused significant disruptions to the global financial markets and contributed to a general global economic slowdown. Furthermore, inflation rates, particularly in the United States and the U.K.,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Moreover, the recent closures of Silicon Valley Bank, or SVB, and Signature Bank have resulted in broader financial institution liquidity risk and concerns. Although as of March 31, 2023, we had only approximately $6.0 million in deposits and other accounts with SVB, which is now a division of First Citizens Bank, consisting of $4.0 million in letters of credit related to our facilities lease and approximately $1.9 million held in a sweep account used to purchase shares in money-market funds through SVB, and we incurred no losses as a result of the closure of SVB, future adverse developments with respect to specific financial institutions or the broader financial services industry may lead to market-wide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cash equivalents and investments, including transferring funds, making payments or receiving funds may be threatened and our ability to raise additional capital could be substantially impaired, any of which could materially and adversely affect our business and financial condition. In any event, if the financial market disruptions and economic slowdown deepen or persist, we may not be able to access additional capital on favorable terms, or at all, which could negatively affect our financial condition and our ability to pursue our business strategy.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adequate funds are not available from public or private equity or debt offerings on acceptable terms, in order to continue the development of product candidates outside of the scope of the collaboration with Merck we may need to:</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4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seek strategic alliances for R&amp;D programs when we otherwise would not, at an earlier stage than we would otherwise desire or on terms less favorable than might otherwise be available; or</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enter into BD Arrangements that could require us to relinquish, or license, on potentially unfavorable terms, our rights to intellectual property, product candidates or products that we otherwise would develop or seek to commercialize ourselves.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this regard, due to the need to conserve capital and prioritize focused execution, we are actively seeking, or intend to seek, as applicable, BD Arrangements with third-party partners with sufficient resources and relevant domain expertise in order to further the clinical development, if any, of NGM621, aldafermin, MK-3655 (NGM313) and NGM936. Further development of these programs, which are in therapeutic areas where clinical development is relatively resource intensive and can have long timelines to generate proof-of-concept data, is primarily dependent on our ability to secure potential future BD Arrangements. However, we may not be able to enter into such BD Arrangements on acceptable terms, if at all. We face significant competition in seeking appropriate partners. Whether we reach a definitive agreement for a BD Arrangement will depend, among other things, upon the potential partner’s evaluation of the subject product candidate and its market opportunity, our assessment of the partner’s resources and expertise and the terms and conditions of the potential BD Arrangement. In the absence of such BD Arrangements for these programs, we are unlikely to be able to advance their development unless our portfolio prioritization changes and we are able to secure the additional capital necessary to fund such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also restricted under our existing Amended Collaboration Agreement with Merck, and may be restricted under future BD Arrangements, from entering into additional agreements on certain terms with potential partners.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 addition, under the Amended Collaboration Agreement, we are prohibited from, directly or indirectly, researching, developing or commercializing any product for the treatment of heart failure with preserved ejection fraction, or HFpEF, during the research phase for the cardiovascular or metabolic-, or CVM-, related programs.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not be able to raise adequate additional capital or negotiate potential future BD Arrangements on a timely basis, on acceptable terms or at all. If we are unable to do so,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Raising additional capital may cause dilution to our existing stockholders, lead to restrictions on our operations or require us to relinquish rights to our product candidates or intellectual property.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Our ability to raise capital may be adversely impacted by the trading prices of our common stock following the announcement in October 2022 that the CATALINA trial did not meet its primary endpoint.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Risks Related to Our Dependence on Third Parties</w:t>
      </w:r>
    </w:p>
    <w:p>
      <w:pPr>
        <w:pStyle w:val="TextBody"/>
        <w:spacing w:lineRule="auto" w:line="288" w:before="180" w:after="120"/>
        <w:jc w:val="both"/>
        <w:rPr>
          <w:rFonts w:ascii="Arial;sans-serif" w:hAnsi="Arial;sans-serif"/>
          <w:b/>
          <w:i/>
          <w:color w:val="000000"/>
          <w:sz w:val="20"/>
        </w:rPr>
      </w:pPr>
      <w:r>
        <w:rPr>
          <w:rFonts w:ascii="Arial;sans-serif" w:hAnsi="Arial;sans-serif"/>
          <w:b/>
          <w:i/>
          <w:color w:val="000000"/>
          <w:sz w:val="20"/>
        </w:rPr>
        <w:t>Funding from Merck under the collaboration after December 31, 2023 is expected to be minimal, and we may never realize the anticipated benefits to us of the collaboration.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described in more detail under “Business-Licensing and Collaboration Arrangements-Merck Collaboration” in Part I, Item 1 of our 2022 Annual Report on Form 10-K and under “Management’s Discussion and Analysis of Financial Condition and Results of Operations-Overview of Our Business-Business Development and Merck Collaboration Updates” in Part I, Item 2 of this Quarterly Report on Form 10-Q, our continuing Merck collaboration involves a complex allocation of rights, provides for certain limited R&amp;D funding and, for remaining collaboration preclinical candidates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profit share arrangement with the possibility that we would provide sales representatives to co-detail the product candidates that Merck elects to advance in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level of R&amp;D funding we expect to receive from Merck will be limited and will continue to be substantially lower on an annual basis than the funding previously provided by Merck. In this regard, for the period that started on April 1, 2023 and ends on March 31, 2024, we expect to receive funding of only approximately $4.0 million in the aggregate from Merck for the ongoing activities under the Amended Collaboration Agreement and for certain costs and reimbursements related to the NGM621 program. Funding from Merck after December 31, 2023 is expected to be minimal.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in January 2023, we announced that Merck notified us of its decision to terminate the Phase 2b trial of MK-3655 (NGM313) in patients with nonalcoholic steatohepatitis, or NASH, and liver fibrosis stage 2 or 3, or F2/F3, and Merck subsequently provided us with the required 90-days' notice of partial termination of the Amended Collaboration Agreement as it relates to MK-3655 (NGM313)and its related compounds. As a result, in April 2023, the license rights granted to Merck in 2018 with respect to MK-3655 (NGM313) reverted to us and the program is now wholly-owned by us. Further development of MK-3655 (NGM313) is primarily dependent on our ability to secure potential future BD Arrangements. We have not yet received the full set of clinical data from the terminated Phase 2b trial from Merck, other than the topline data previously disclosed, and we will need to access and analyze that data in order to pursue such BD Arrangements. In the absence of such BD Arrangements, we are unlikely to be able to advance development of MK-3655 (NGM313) unless our portfolio prioritization changes and we are able to secure the additional capital necessary to fund such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Similarly, in October 2022, we announced that our Phase 2 CATALINA trial evaluating NGM621 in patients with geographic atrophy, or GA, secondary to age-related macular degeneration, or AMD, did not meet its primary endpoint and, in December 2022, Merck notified us that it would not exercise its option to license NGM621 and its related compounds or the related ophthalmology bundle option and, as a result, those options expired unexercised in January 2023. Further, Merck did not elect for us to continue to conduct R&amp;D on any compounds from our other ophthalmology programs that were subject to the collaboration, which are preclinical and directed to undisclosed targets. Such an election would have resulted in an extended or tail period in which Merck would continue to fund our R&amp;D of such ophthalmology compounds. Because Merck did not make such an election, we do not have any funding from Merck to pursue such ophthalmology programs after we complete certain wind down activities related to NGM621, and if we choose to develop these programs further, we will be responsible for funding them. As a result, while our ophthalmology programs, including NGM621, are now wholly-owned by us, further development of those programs is primarily dependent on our ability to secure potential future BD Arrangements and, in the absence of such BD Arrangements, we are unlikely to be able to advance development of NGM621 or the preclinical ophthalmology programs unless our portfolio prioritization changes and we are able to secure the additional capital necessary to fund such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know whether Merck will elect to exercise its option to license any CVM-related preclinical candidates that remain subject to the collaboration. Accordingly, the anticipated benefits to us of the collaboration with Merck may never be realized and it is possible that the Amended Collaboration Agreement will be terminated without Merck exercising its option to license any other programs or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under the Amended Collaboration Agreement, Merck has the unilateral right to terminate all or part of the agreement at certain times and under certain circumstances. Merck also may unilaterally terminate its R&amp;D funding for programs that remain within the scope of the collaboration if we are acquired by a third party or in the event of an uncured material breach by us. Subject to certain limitations, Merck may partially terminate the Amended Collaboration Agreement for convenience as it relates to any future licensed program, as they did with respect to MK-3655 (NGM313) in April 2023 and with respect to our growth differentiation factor 15, or GDF15, agonist program, which included product candidates NGM395 and NGM386, in 2019. Merck may also unilaterally terminate the Amended Collaboration Agreement as it relates to its rights to research and develop 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Merck terminates funding or terminates the Amended Collaboration Agreement, it could delay or preclude our ability to further our CVM-related research programs, which could materially and adversely affect our business. In addition, in the event that Merck decides to take over any CVM-related preclinical candidates that remain within the scope of the collaboration for development during any tail period, or exercises its license option for any such preclinical candidate, we could be subject to disputes with Merck with respect to their obligation to use commercially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may depend in the future on BD Arrangements with third-party partners for the development and commercialization of our product candidates and for revenue. If we are unable to secure those BD Arrangements on beneficial terms, if at all, or if any such future arrangements are not successful, we may not be able to capitalize on the market potential of our product candidates or continue their development.</w:t>
      </w:r>
    </w:p>
    <w:p>
      <w:pPr>
        <w:pStyle w:val="TextBody"/>
        <w:spacing w:lineRule="auto" w:line="288" w:before="120" w:after="120"/>
        <w:ind w:left="0" w:right="0" w:firstLine="720"/>
        <w:jc w:val="both"/>
        <w:rPr/>
      </w:pPr>
      <w:r>
        <w:rPr>
          <w:rFonts w:ascii="Arial;sans-serif" w:hAnsi="Arial;sans-serif"/>
          <w:b w:val="false"/>
          <w:color w:val="000000"/>
          <w:sz w:val="20"/>
          <w:highlight w:val="white"/>
        </w:rPr>
        <w:t xml:space="preserve">Pursuing BD arrangements has been and is expected to continue to be a key component of our strategy, and we are actively seeking, or intend to seek, as applicable, BD Arrangements with third-party partners to progress, in whole or in part, the development of one or more of our product candidates. While we may opportunistically consider BD Arrangements to advance development of our key solid tumor oncology programs, the further development of other programs in our pipeline, including NGM621, aldafermin, MK-3655 </w:t>
      </w:r>
      <w:r>
        <w:rPr>
          <w:rFonts w:ascii="Arial;sans-serif" w:hAnsi="Arial;sans-serif"/>
          <w:b w:val="false"/>
          <w:color w:val="000000"/>
          <w:sz w:val="20"/>
        </w:rPr>
        <w:t xml:space="preserve">(NGM313) and </w:t>
      </w:r>
      <w:r>
        <w:rPr>
          <w:rFonts w:ascii="Arial;sans-serif" w:hAnsi="Arial;sans-serif"/>
          <w:b w:val="false"/>
          <w:color w:val="000000"/>
          <w:sz w:val="20"/>
          <w:highlight w:val="white"/>
        </w:rPr>
        <w:t>NGM936, is primarily dependent on our ability to secure potential future BD Arrangements for these programs. Due to the need to conserve capital and prioritize focused execution and unless our portfolio prioritization changes, if we are unable to secure BD Arrangements for these programs on beneficial terms, if at all, we are unlikely to be able to advance their development unless our portfolio prioritization changes and we are able to secure the additional capital necessary to fund such development, and may discontinue or abandon any or all of these programs altogether, in which case we will not realize any return on our investments in these programs. Even if we are successful in entering into any BD Arrangements with third-party partners for our programs, we will likely have limited control over the amount and timing of resources that our partners dedicate to the development or commercialization of the applicable product candidates. Our ability to generate revenue from any such arrangement will depend on the specific financial terms we reach with any partner, as well as each of our partners’ abilities to successfully perform the functions assigned to them in such arrangement towards developing, seeking regulatory approval for and commercializing our product candidates.</w:t>
      </w:r>
    </w:p>
    <w:p>
      <w:pPr>
        <w:pStyle w:val="TextBody"/>
        <w:spacing w:lineRule="auto" w:line="288" w:before="120" w:after="120"/>
        <w:ind w:left="0" w:right="0" w:firstLine="720"/>
        <w:jc w:val="both"/>
        <w:rPr>
          <w:rFonts w:ascii="Arial;sans-serif" w:hAnsi="Arial;sans-serif"/>
          <w:b w:val="false"/>
          <w:color w:val="000000"/>
          <w:sz w:val="20"/>
          <w:highlight w:val="white"/>
        </w:rPr>
      </w:pPr>
      <w:r>
        <w:rPr>
          <w:rFonts w:ascii="Arial;sans-serif" w:hAnsi="Arial;sans-serif"/>
          <w:b w:val="false"/>
          <w:color w:val="000000"/>
          <w:sz w:val="20"/>
          <w:highlight w:val="white"/>
        </w:rPr>
        <w:t>BD Arrangements involving our product candidates pose risks to us, including the following:</w:t>
      </w:r>
    </w:p>
    <w:p>
      <w:pPr>
        <w:pStyle w:val="TextBody"/>
        <w:spacing w:lineRule="auto" w:line="288" w:before="60" w:after="60"/>
        <w:ind w:left="0" w:right="0" w:hanging="360"/>
        <w:jc w:val="both"/>
        <w:rPr/>
      </w:pPr>
      <w:r>
        <w:rPr>
          <w:color w:val="000000"/>
          <w:highlight w:val="white"/>
        </w:rPr>
        <w:t>•</w:t>
      </w:r>
      <w:r>
        <w:rPr>
          <w:rFonts w:ascii="Arial;sans-serif" w:hAnsi="Arial;sans-serif"/>
          <w:b w:val="false"/>
          <w:color w:val="000000"/>
          <w:sz w:val="20"/>
        </w:rPr>
        <w:t>Partners have significant discretion in determining the efforts and resources that they will apply to these arrangements. For example, under the terms of the collaboration with Merck, if Merck exercises its option to acquire an exclusive license for any CVM-related preclinical candidate that remains within the scope of the collaboration, our ability to influence the resources Merck devotes to such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Partners might opt not to pursue development and commercialization of our product candidates or not to continue or renew development or commercialization programs based on clinical trial results, changes in the partner’s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we entered into with Merck in 2015. In addition, under the terms of the Amended Collaboration Agreement, it is possible for Merck to unilaterally terminate any other future licensed program, if any, (whether or not we have exercised our cost and profit share option) upon prior written notice, such as it did for NGM386 and NGM395 in 2019 and most recently for MK-3655 (NGM313), without triggering a termination of the remainder of the Amended Collaboration Agreement. Moreover, Merck might also opt not to designate any collaboration preclinical candidates for further development during the tail period following the end of the research phase or exercise any of its options to acquire a license to a product candidate, as it did with respect to the preclinical ophthalmology product candidates.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Partners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Partners could independently develop, or develop with third parties, products that compete directly or indirectly with our product candidates if the partners believe that competitive products are more likely to be successfully developed or can be commercialized under terms that are more economically attractive than ours.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 partner with marketing and distribution rights might not commit sufficient resources to the marketing and distribution of our product candidates.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Partners might not properly maintain or defend our intellectual property rights or may use our proprietary information in such a way as to invite litigation that could jeopardize or invalidate our proprietary information or expose us to potential litigation.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Disputes may arise between the partners and us that result in the delay or termination of the research, development or commercialization of our product candidates or that result in costly litigation or arbitration that diverts management attention and resources.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We may lose certain valuable rights under circumstances identified in our BD Arrangements, including, in the case of our collaboration with Merck, if we undergo a change in control.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BD Arrangements might be terminated and, if terminated, may result in a need for additional capital to pursue further development or commercialization of the applicable product candidates.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BD Arrangements might not lead to development or commercialization of product candidates in the most efficient manner, or at all. If a present or future partner of ours were to be involved in a business combination, the continued pursuit of and emphasis on our product development or commercialization program under such arrangement could be delayed, diminished or terminated.</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may not be able to obtain and maintain the relationships with third parties that are necessary to develop, commercialize and manufacture some or all of our product candidates.</w:t>
      </w:r>
    </w:p>
    <w:p>
      <w:pPr>
        <w:pStyle w:val="TextBody"/>
        <w:spacing w:lineRule="auto" w:line="288" w:before="120" w:after="120"/>
        <w:ind w:left="0" w:right="0" w:firstLine="720"/>
        <w:jc w:val="both"/>
        <w:rPr/>
      </w:pPr>
      <w:r>
        <w:rPr>
          <w:rFonts w:ascii="Arial;sans-serif" w:hAnsi="Arial;sans-serif"/>
          <w:b w:val="false"/>
          <w:color w:val="000000"/>
          <w:sz w:val="20"/>
        </w:rPr>
        <w:t xml:space="preserve">In addition to our dependence on any potential future partners,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color w:val="000000"/>
        </w:rPr>
        <w:t>“</w:t>
      </w:r>
      <w:r>
        <w:rPr>
          <w:rFonts w:ascii="Arial;sans-serif" w:hAnsi="Arial;sans-serif"/>
          <w:b w:val="false"/>
          <w:i/>
          <w:color w:val="000000"/>
          <w:sz w:val="20"/>
        </w:rPr>
        <w:t xml:space="preserve">We rely completely on CMOs for the manufacture of our product candidates, and we are subject to many manufacturing risks, any of which could substantially increase our costs and limit supply of our product candidates and any future products" </w:t>
      </w:r>
      <w:r>
        <w:rPr>
          <w:rFonts w:ascii="Arial;sans-serif" w:hAnsi="Arial;sans-serif"/>
          <w:b w:val="false"/>
          <w:color w:val="000000"/>
          <w:sz w:val="20"/>
        </w:rPr>
        <w:t xml:space="preserve">and </w:t>
      </w:r>
      <w:r>
        <w:rPr>
          <w:color w:val="000000"/>
        </w:rPr>
        <w:t>“</w:t>
      </w:r>
      <w:r>
        <w:rPr>
          <w:rFonts w:ascii="Arial;sans-serif" w:hAnsi="Arial;sans-serif"/>
          <w:b w:val="false"/>
          <w:i/>
          <w:color w:val="000000"/>
          <w:sz w:val="20"/>
        </w:rPr>
        <w:t>We have no experience in sales, marketing and distribution and may have to enter into agreements with third parties to perform these functions, which could prevent us from successfully commercializing our product candidates.”</w:t>
      </w:r>
      <w:r>
        <w:rPr>
          <w:color w:val="000000"/>
        </w:rPr>
        <w:t xml:space="preserv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guarantee that we or, as applicable, any of our partners will be able to successfully negotiate agreements for, and maintain relationships with, third-party partners and service providers on favorable terms, if at all. If we or any of our partners are unable to obtain and maintain these agreements, we may not be able to clinically develop, formulate, manufacture, obtain regulatory approvals for or commercialize our product candidates, which will, in turn, adversely affect our business. If we or any of our partners need to enter into alternative arrangements, it would delay our product development and, if applicable, commercialization activities and such alternative arrangements may not be available on terms acceptable to us.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partners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rely completely on CMOs for the manufacture of our product candidates, and we are subject to many manufacturing risks, any of which could substantially increase our costs and limit supply of our product candidates and any future products.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product loss or other negative consequences due to contamination, equipment failure, improper installation or operation of equipment, vendor or operator error, shortages of qualified personnel or improper delivery or storage conditions;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negative consequences of failure to comply with strictly enforced federal, state and foreign regulations;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minor deviations from normal manufacturing processes, which have in the past and may in the future result in reduced production yields, product defects and other supply disruptions;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the negative consequences of our CMOs’ failure to qualify upon an audit by regulatory authorities, by us or by our collaborators;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CMOs’ changing strategies and business priorities, which can affect the availability of facilities where we intend to manufacture our product candidates;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CMOs or their manufacturing facilities being adversely affected by labor, raw material and component shortages, turnover of qualified staff or financial difficulties of their owners or operators, including as a result of the effects of financial market disruptions and economic slowdowns, the ongoing COVID-19 pandemic, or by natural disasters, power failures, local political unrest or other factors.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transfer of our small-scale manufacturing processes to CMOs for scale up and validation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 addition, for out of specification materials, we may need to undertake costly remediation efforts or manufacture new batches at considerable cost and time delays or, in the longer run, seek more expensive manufacturing alternatives.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investigational new drug application, or IND,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foreign health authority for approval, there could be a shortage of drug substance or drug product for use in clinical trials with respect to the affected product candidates which would adversely affect our ability to continue and complete clinical trials on our anticipated timing or at all.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pStyle w:val="TextBody"/>
        <w:spacing w:lineRule="auto" w:line="288" w:before="120" w:after="120"/>
        <w:ind w:left="0" w:right="0" w:firstLine="720"/>
        <w:jc w:val="both"/>
        <w:rPr/>
      </w:pPr>
      <w:r>
        <w:rPr>
          <w:rFonts w:ascii="Arial;sans-serif" w:hAnsi="Arial;sans-serif"/>
          <w:b w:val="false"/>
          <w:color w:val="000000"/>
          <w:sz w:val="20"/>
        </w:rPr>
        <w:t>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sans-serif" w:hAnsi="Arial;sans-serif"/>
          <w:b w:val="false"/>
          <w:i/>
          <w:color w:val="000000"/>
          <w:sz w:val="20"/>
        </w:rPr>
        <w:t>Our business could be materially and adversely affected in the future by the effects of disease outbreaks, epidemics and pandemics, including the COVID-19 pandemic.</w:t>
      </w:r>
      <w:r>
        <w:rPr>
          <w:color w:val="000000"/>
        </w:rPr>
        <w:t xml:space="preserve">” </w:t>
      </w:r>
      <w:r>
        <w:rPr>
          <w:rFonts w:ascii="Arial;sans-serif" w:hAnsi="Arial;sans-serif"/>
          <w:b w:val="false"/>
          <w:color w:val="000000"/>
          <w:sz w:val="20"/>
        </w:rPr>
        <w:t>Changes in economic conditions, supply chain constraints, labor, raw material and component shortages and steps taken by governments and central banks, particularly in response to the COVID-19 pandemic as well as other stimulus and spending programs, could also lead to higher inflation than previously experienced or expected, which could, in turn, lead to an increase in costs.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other than NGM621 and aldafermin are currently solely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have no experience in sales, marketing and distribution and may have to enter into agreements with third parties to perform these functions, which could prevent us from successfully commercializing our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if any, or for which Merck decides not to exercise its license option,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pStyle w:val="TextBody"/>
        <w:spacing w:lineRule="auto" w:line="288" w:before="300" w:after="120"/>
        <w:jc w:val="center"/>
        <w:rPr>
          <w:rFonts w:ascii="Arial;sans-serif" w:hAnsi="Arial;sans-serif"/>
          <w:b/>
          <w:color w:val="000000"/>
          <w:sz w:val="20"/>
        </w:rPr>
      </w:pPr>
      <w:r>
        <w:rPr>
          <w:rFonts w:ascii="Arial;sans-serif" w:hAnsi="Arial;sans-serif"/>
          <w:b/>
          <w:color w:val="000000"/>
          <w:sz w:val="20"/>
        </w:rPr>
        <w:t>Risks Related to Our Business and Industry</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ongoing discussions with the FDA or comparable foreign health authorities regarding the scope or design of our clinical trials;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delays in obtaining, or the inability to obtain, required approvals from IRBs and ethics committees or other governing entities at clinical trial sites selected for participation in our clinical trials;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delays in patient enrollment and other key trial activities, including as a result of the effects of the ongoing COVID-19 pandemic and of the significant competition for recruiting patients with cancer in clinical trials;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delays in reaching agreement on acceptable terms with prospective CROs and the failure of CROs, testing laboratories and other third parties to satisfy their contractual duties to us or meet expected deadlines;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deviations from the trial protocol by clinical trial sites and investigators, or failures to conduct the trial in accordance with regulatory requirements;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lower than anticipated retention rates of participants in clinical trials, including patients dropping out due to side effects, disease progression or concerns about the COVID-19 pandemic;</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failure of enrolled patients to complete treatment or to return for post-treatment follow-up;</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for clinical trials in selected patient populations, delays in identification and auditing of central or other laboratories and the transfer and validation of assays or tests to be used to identify selected patients and test any patient samples;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implementation of new, or changes to, guidance or interpretations from the FDA or comparable foreign health authorities with respect to approval pathways for product candidates we are pursuing;</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need to repeat clinical trials as a result of inconclusive or negative results, poorly executed testing or changes in required endpoints;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withdrawal of clinical trial sites or investigators from our clinical trials for any reason, including as a result of changing standards of care or the ineligibility of a site to participate in our clinical trials;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unfavorable FDA or comparable foreign health authority inspection or review of a clinical trial site or records of any clinical or preclinical investigation;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drug-related adverse effects or tolerability issues experienced by participants in our clinical trials;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changes in government regulations or administrative actions;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lack of adequate funding to continue the clinical trials;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ability to hire and retain key R&amp;D personnel; or</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placement of a clinical hold on a trial by the FDA or comparable foreign health authorities.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early stages of development, with our most advanced product candidates only in Phase 2 development. Before obtaining marketing approval from health authorities for the sale of our product candidates, we or our partners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there is a high failure rate for drugs and biologic products proceeding through clinical trials and failure can occur at any stage of testing. For example, despite the results of preclinical and Phase 1 studies of NGM621, our Phase 2 CATALINA clinical trial evaluating NGM621 in patients with GA secondary to AMD did not meet its primary endpoint. Since Merck did not elect to exercise its option to license NGM621 and its related compounds, further development of NGM621 is primarily dependent on our ability to secure potential future BD Arrangements and, in the absence of such BD Arrangements, we are unlikely to be able to advance development of NGM621 unless our portfolio prioritization changes and we are able to secure the additional capital necessary to fund such development.</w:t>
      </w:r>
    </w:p>
    <w:p>
      <w:pPr>
        <w:pStyle w:val="TextBody"/>
        <w:spacing w:lineRule="auto" w:line="288" w:before="120" w:after="120"/>
        <w:ind w:left="0" w:right="0" w:firstLine="720"/>
        <w:jc w:val="both"/>
        <w:rPr/>
      </w:pPr>
      <w:r>
        <w:rPr>
          <w:rFonts w:ascii="Arial;sans-serif" w:hAnsi="Arial;sans-serif"/>
          <w:b w:val="false"/>
          <w:color w:val="000000"/>
          <w:sz w:val="20"/>
        </w:rPr>
        <w:t>Similarly, our Phase 2b ALPINE 2/3 trial evaluating aldafermin in patients with F2/F3 NASH did not meet its primary endpoint and, as a result, we decided to suspend further development of aldafermin in patients with F2/F3 NASH, allowing for the reallocation of resources to advancing our other programs. For more information, refer to the risk factor titled “</w:t>
      </w:r>
      <w:r>
        <w:rPr>
          <w:rFonts w:ascii="Arial;sans-serif" w:hAnsi="Arial;sans-serif"/>
          <w:b w:val="false"/>
          <w:i/>
          <w:color w:val="000000"/>
          <w:sz w:val="20"/>
        </w:rPr>
        <w:t>Aldafermin is, and MK-3655 (NGM313) was, being developed, for the treatment of NASH, an indication for which there are no approved products. This makes it difficult to predict the timing, cost and potential success of their continued clinical development, if any, and regulatory approval for the treatment of NASH, or otherwise.</w:t>
      </w:r>
      <w:r>
        <w:rPr>
          <w:color w:val="000000"/>
        </w:rPr>
        <w:t xml:space="preserve">” </w:t>
      </w:r>
      <w:r>
        <w:rPr>
          <w:rFonts w:ascii="Arial;sans-serif" w:hAnsi="Arial;sans-serif"/>
          <w:b w:val="false"/>
          <w:color w:val="000000"/>
          <w:sz w:val="20"/>
        </w:rPr>
        <w:t>Further development of aldafermin is primarily dependent on our ability to secure potential future BD Arrangements and, in the absence of such BD Arrangements, we are unlikely to be able to advance development of aldafermin unless our portfolio prioritization changes and we are able to secure the additional capital necessary to fund such development.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pStyle w:val="TextBody"/>
        <w:spacing w:lineRule="auto" w:line="288" w:before="120" w:after="120"/>
        <w:ind w:left="0" w:right="0" w:firstLine="720"/>
        <w:jc w:val="both"/>
        <w:rPr/>
      </w:pPr>
      <w:r>
        <w:rPr>
          <w:rFonts w:ascii="Arial;sans-serif" w:hAnsi="Arial;sans-serif"/>
          <w:b w:val="false"/>
          <w:color w:val="000000"/>
          <w:sz w:val="20"/>
        </w:rPr>
        <w:t>We may also not be successful in generating clinical data sufficient to differentiate our product candidates from other products in the same therapeutic area. If our competitors' products are, or are perceived to be, more effective, more convenient, less costly or safer than our products, or we are unable to demonstrate differentiation in any of those factors, we may not be able to achieve a competitive position in the market. For more information, refer to the risk factor titled “</w:t>
      </w:r>
      <w:r>
        <w:rPr>
          <w:rFonts w:ascii="Arial;sans-serif" w:hAnsi="Arial;sans-serif"/>
          <w:b w:val="false"/>
          <w:i/>
          <w:color w:val="000000"/>
          <w:sz w:val="20"/>
        </w:rPr>
        <w:t>We face substantial competition, which may result in others discovering, developing or commercializing products before or more successfully than us."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partners to develop drugs that regulatory authorities deem effective and safe in humans, we will not have a viable business.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Success in preclinical studies or earlier-stage clinical trials may not be indicative of results in future clinical trials.</w:t>
      </w:r>
    </w:p>
    <w:p>
      <w:pPr>
        <w:pStyle w:val="TextBody"/>
        <w:spacing w:lineRule="auto" w:line="288" w:before="120" w:after="120"/>
        <w:ind w:left="0" w:right="0" w:firstLine="720"/>
        <w:jc w:val="both"/>
        <w:rPr/>
      </w:pPr>
      <w:r>
        <w:rPr>
          <w:rFonts w:ascii="Arial;sans-serif" w:hAnsi="Arial;sans-serif"/>
          <w:b w:val="false"/>
          <w:color w:val="000000"/>
          <w:sz w:val="20"/>
        </w:rPr>
        <w:t>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the data supporting our drug discovery and development programs are derived from laboratory and preclinical studies, and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despite the results of preclinical and Phase 1 studies of NGM621, our Phase 2 CATALINA clinical trial evaluating NGM621 in patients with GA secondary to AMD did not meet its primary endpoint. Similarly, in spite of the results we had obtained in our Phase 1 trials of aldafermin and in our first Phase 2 trial, in May 2021, we announced that our Phase 2b ALPINE 2/3 trial evaluating aldafermin in patients with F2/F3 NASH did not meet its primary endpoint. For more information, refer to the risk factor titled “</w:t>
      </w:r>
      <w:r>
        <w:rPr>
          <w:rFonts w:ascii="Arial;sans-serif" w:hAnsi="Arial;sans-serif"/>
          <w:b w:val="false"/>
          <w:i/>
          <w:color w:val="000000"/>
          <w:sz w:val="20"/>
        </w:rPr>
        <w:t xml:space="preserve">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 </w:t>
      </w:r>
      <w:r>
        <w:rPr>
          <w:rFonts w:ascii="Arial;sans-serif" w:hAnsi="Arial;sans-serif"/>
          <w:b w:val="false"/>
          <w:color w:val="000000"/>
          <w:sz w:val="20"/>
        </w:rPr>
        <w:t>There can be no assurance that any clinical testing of our product candidates will be successful or will otherwise be supportive of continued development and/or regulatory approvals of such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some of our earlier-stage clinical trials involve small patient populations, sometimes at single sites, and the results of these clinical trials may be subject to substantial variability and may not be indicative of either future interim results or final results. As a general matter, there is also a substantial risk that Phase 3 trials with larger numbers of patients and/or longer durations of therapy will fail to replicate efficacy and safety results observed in earlier clinical trials.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Our product candidates may cause undesirable side effects or adverse events or have other properties or safety risks, which could delay or prevent continued clinical development or their regulatory approval or limit the commercial profile of any approved label.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or with NASH with more advanced fibrosis,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Patients experienced, and we reported, serious adverse events, or SAEs, in the treatment arms of our completed trials of MK-3655 (NGM313), NGM621 and aldafermin.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ongoing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5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clinical trials of NGM120, NGM707, NGM831 and NGM438, many of whom are suffering from advanced life-threatening illness, have experienced, and we expect will continue to experience, SAEs and other adverse events, which may or may not be drug-related. If patients in any of our clinical trials experience a high or unacceptable severity and prevalence of side effects, including particularly SAEs, it could affect patient recruitment or the ability of enrolled patients to complete their treatment in a clinical trial, it may result in a regulatory authority putting a clinical hold on the clinical trial or it may result in failure to obtain regulatory approval for our product candidates or product liability claims.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MK-3655 (NGM313) trial. If we are required to undertake substantial additional testing as a result of the detection of ADAs in subjects using aldafermin, MK-3655 (NGM313) or any other product candidate, the costs of our clinical trials may increase. If we determine that ADAs are causing safety or efficacy concerns when using any of our product candidates, we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pStyle w:val="TextBody"/>
        <w:spacing w:lineRule="auto" w:line="276" w:before="240" w:after="283"/>
        <w:jc w:val="both"/>
        <w:rPr>
          <w:rFonts w:ascii="Arial;sans-serif" w:hAnsi="Arial;sans-serif"/>
          <w:b/>
          <w:i/>
          <w:color w:val="000000"/>
          <w:sz w:val="20"/>
        </w:rPr>
      </w:pPr>
      <w:r>
        <w:rPr>
          <w:rFonts w:ascii="Arial;sans-serif" w:hAnsi="Arial;sans-serif"/>
          <w:b/>
          <w:i/>
          <w:color w:val="000000"/>
          <w:sz w:val="20"/>
        </w:rPr>
        <w:t xml:space="preserve">Aldafermin is, and MK-3655 (NGM313) was, being developed for the treatment of NASH, an indication for which there are no approved products. This makes it difficult to predict the timing, cost and potential success of their continued clinical development, if any, and regulatory approval for the treatment of NASH, or otherwise.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developing aldafermin, and MK-3655 (NGM313) was in development by Merck, for the treatment of NASH, an indication for which there are no approved products. Implementation of new, or changes to, guidance or interpretations from the FDA or comparable foreign health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We updated the design of the ALPINE 4 trial of aldafermin, elevating the ELF test to be the primary endpoint for the trial. Neither the ELF test, nor any other surrogate biomarker endpoints, are currently endorsed by the FDA or EMA as sufficient for granting regulatory approval of products being developed for the treatment of compensated cirrhosis due to NASH (stage F4) and therefore may not be able to be used as a primary endpoint in potential future Phase 3 trials to support regulatory approval for aldafermin.</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certain of our competitors have experienced regulatory setbacks for NASH therapies following communications from the FDA. We currently do not know the impact, if any, that these setbacks could have on the path for regulatory approval for NASH therapies generally or for aldafermin and MK-3655 (NGM313) in particular. If the clinical trials for aldafermin and MK-3655 (NGM313)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 Moreover, the above factors could make it difficult or preclude altogether our ability to secure potential future partners necessary to further the development of aldafermin and MK-3655 (NGM313) in NASH or otherwise.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 result of the above, the future development of aldafermin and MK-3655 (NGM313) in patients with NASH is substantially uncertain and could be discontinued altogether, in which case, we will not receive any return on our investments in these programs.</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Aldafermin is a modified version of a human hormone that has been associated with liver cancer in rodent testing.</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Concerns about the association between FGF19 and liver cancer could have an adverse effect on our ability to develop and commercialize aldafermin.</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may not successfully identify new product candidates to expand our development pipeline.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this regard, the recent resignation of Jin-Long Chen, Ph.D., who served as our Chief Scientific Officer, may adversely affect our ability to successfully identify new product candidates and to attract and retain the key scientific personnel necessary to do so.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may fail to select or capitalize on the most scientifically, clinically and commercially promising or profitable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For example, our key pipeline programs in active development include product candidates in solid tumor oncology, and we are focusing most of our execution efforts and resources on these programs, intending to mainly advance them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generation of proof-of-concept data internally. However, our focus on the solid tumor oncology therapeutic area may be unsuccessful and may never lead to the development of viable commercial products. Similarly, our decisions to delay or terminate drug development programs, such as our decision to suspend development activities related to multiple metabolic disease product candidates and for aldafermin in patients with F2/F3 NASH to concentrate our resources elsewhere, also may be incorrect and could cause us to miss valuable opportunities.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must attract and retain highly skilled employees in order to succeed. If we are not able to retain our current senior management team, or to continue to attract and retain qualified scientific, technical and business personnel, our business will suffer.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April 2023, we announced a restructuring of our workforce, reducing our existing headcount by approximately 33%. At the same time, our founder, Dr. Jin-Long Chen, resigned from the Board and his position as Chief Scientific Officer. These significant changes may cause additional attrition and negatively affect employee morale. Additionally, as we are operating our business with fewer employees, including fewer members of senior management, the loss of a significant number of our remaining employees or of any of our current executive officers could result in a significant loss in the knowledge and experience that we, as an organization, possess and could cause significant delays, or outright failure, in the development and further commercialization of our product candidates.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We recruit for talent in the biotechnology and pharmaceutical industry in the San Francisco Bay Area, which is one of the most competitive and highest cost labor markets in the United States and periodically experiences higher turnover rates than other industries. For example, in 2022, we continued to experience a challenging recruiting environment with relatively high rates of employees leaving the company to pursue other opportunities, particularly in the first three quarters of the year.</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tightened significantly after the beginning of the ongoing COVID-19 pandemic. During the first couple of years of the COVID-19 pandemic, we experienced employee attrition at rates higher than we experienced historically, which may recur and could have a negative impact on our productivity. If we are unable to attract and retain high-quality personnel, the rate and success with which we can discover and develop product candidates and our business will be limited.</w:t>
      </w:r>
    </w:p>
    <w:p>
      <w:pPr>
        <w:pStyle w:val="TextBody"/>
        <w:spacing w:lineRule="auto" w:line="288" w:before="240" w:after="60"/>
        <w:jc w:val="both"/>
        <w:rPr>
          <w:rFonts w:ascii="Arial;sans-serif" w:hAnsi="Arial;sans-serif"/>
          <w:b/>
          <w:i/>
          <w:color w:val="000000"/>
          <w:sz w:val="20"/>
        </w:rPr>
      </w:pPr>
      <w:r>
        <w:rPr>
          <w:rFonts w:ascii="Arial;sans-serif" w:hAnsi="Arial;sans-serif"/>
          <w:b/>
          <w:i/>
          <w:color w:val="000000"/>
          <w:sz w:val="20"/>
        </w:rPr>
        <w:t xml:space="preserve">We face substantial competition, which may result in others discovering, developing or commercializing products before or more successfully than us.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particularly in the oncology field. Some of these pharmaceuticals in development are active, or seek to be active, against the same targets that our product candidates are engineered to effect, including the targets that are the focus of our immuno-oncology candidates,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ILT2, ILT3, ILT4 and LAIR1. It is probable that the number of companies seeking to develop products and therapies for the treatment of cancer, retinal diseases and liver and metabolic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collaboration or partnering relationships. Smaller and earlier-stage companies may also prove to be significant competitors, particularly through collaboration or partnering arrangements with large, established companies.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Although we believe there are no FDA- or European Commission-approved therapies that specifically target the signaling pathways that our current product candidates are designed to modulate or inhibit, there are numerous currently approved therapies for treating the same diseases or indications (other than NASH or GA)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“Business-Our Pipeline Programs” in our 2022 Annual Report on Form 10-K.</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February 2023, Apellis Pharmaceuticals, Inc., or Apellis, announced that the FDA approved SYFOVRE™ (pegcetacoplan injection) for the treatment of GA secondary to AMD. Apellis' regulatory approval for pegcetacoplan injection may affect future late-stage clinical trial designs, if any, and require added clinical development expense. Iveric bio, Inc.’s, or Iveric's, avacincaptad pegol, a PEGylated aptamer inhibitor of complement C5, completed a Phase 2/3 clinical trial that demonstrated statistically significant reductions in the rate of GA lesion area growth in the avacincaptad pegol arm versus the sham arm. In February 2023, Iveric announced that the FDA had accepted its NDA for avacincaptad pegol. Even if we are successful in securing a future BD Arrangement for the NGM621 program, which may not occur in a timely manner or at all, and our partner obtains regulatory approval of NGM621, which is substantially uncertain given the failure to meet the primary endpoint in the CATALINA trial, NGM621 may not be able to compete effectively against pegcetacoplan and avacincaptad pegol, which could adversely affect our future revenues and business prospects in the event we are able to successfully partner the program.</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product candidates may not achieve adequate market acceptance among physicians, patients, healthcare payors and others in the medical community necessary for commercial success.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efficacy and safety profile of the product candidate as demonstrated in clinical trials;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timing of market introduction of the product candidate, as well as competitive products;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clinical indications for which the product candidate is approved;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acceptance of the product candidate as a safe and effective treatment by physicians and patients;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actual and perceived advantages of the product candidate over alternative treatments, including any similar generic treatments;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viewpoints of influential physicians with respect to the product candidate;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inclusion or exclusion of the product candidate from treatment guidelines established by various physician groups;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cost of treatment relative to alternative treatments;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pricing and the availability of coverage and adequate reimbursement by third parties and government authorities as described in the risk factor titled “</w:t>
      </w:r>
      <w:r>
        <w:rPr>
          <w:rFonts w:ascii="Arial;sans-serif" w:hAnsi="Arial;sans-serif"/>
          <w:b w:val="false"/>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r>
        <w:rPr>
          <w:color w:val="000000"/>
        </w:rPr>
        <w:t>”</w:t>
      </w:r>
      <w:r>
        <w:rPr>
          <w:rFonts w:ascii="Arial;sans-serif" w:hAnsi="Arial;sans-serif"/>
          <w:b w:val="false"/>
          <w:color w:val="000000"/>
          <w:sz w:val="20"/>
        </w:rPr>
        <w: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relative convenience and ease of administration;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frequency and severity of adverse events;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effectiveness of sales and marketing efforts;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any unfavorable publicity relating to the product candidate.</w:t>
      </w:r>
    </w:p>
    <w:p>
      <w:pPr>
        <w:pStyle w:val="TextBody"/>
        <w:spacing w:lineRule="auto" w:line="288" w:before="120" w:after="120"/>
        <w:ind w:left="0" w:right="0" w:firstLine="720"/>
        <w:jc w:val="both"/>
        <w:rPr/>
      </w:pPr>
      <w:r>
        <w:rPr>
          <w:rFonts w:ascii="Arial;sans-serif" w:hAnsi="Arial;sans-serif"/>
          <w:b w:val="false"/>
          <w:color w:val="000000"/>
          <w:sz w:val="20"/>
        </w:rPr>
        <w:t xml:space="preserve">For example, aldafermin is currently administered via a once-daily subcutaneous injection, which may negatively impact market acceptance of an approved aldafermin product, if any. In addition, refer to the risk factor titled </w:t>
      </w:r>
      <w:r>
        <w:rPr>
          <w:color w:val="000000"/>
        </w:rPr>
        <w:t>“</w:t>
      </w:r>
      <w:r>
        <w:rPr>
          <w:rFonts w:ascii="Arial;sans-serif" w:hAnsi="Arial;sans-serif"/>
          <w:b w:val="false"/>
          <w:i/>
          <w:color w:val="000000"/>
          <w:sz w:val="20"/>
        </w:rPr>
        <w:t>Our product candidates may cause undesirable side effects or adverse events or have other properties or safety risks, which could delay or prevent continued clinical development or their regulatory approval or limit the commercial profile of any approved label.</w:t>
      </w:r>
      <w:r>
        <w:rPr>
          <w:rFonts w:ascii="Arial;sans-serif" w:hAnsi="Arial;sans-serif"/>
          <w:b w:val="false"/>
          <w:color w:val="000000"/>
          <w:sz w:val="20"/>
        </w:rPr>
        <w:t>" If any product candidate is approved but does not achieve an adequate level of acceptance by such parties, we may not generate or derive sufficient revenue from that product candidate and may not become or remain profitable.</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European Union, or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The advancement of healthcare reform may negatively impact our ability to profitably sell our product candidates, if approved.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For example, on August 16, 2022, President Biden signed the Inflation Reduction Act of 2022, or the IRA, into law, which among other things, (1) directs the U.S. Department of Health and Human Services, or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or the 2017 Tax Act, repealed the tax-based shared responsibility payment imposed by the ACA on certain individuals who fail to maintain qualifying health coverage that is commonly referred to as the “individual mandate.” On June 17, 2021, the U.S.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w:t>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our product candidates, which would adversely affect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countries implement health technology assessment, or HTA, procedures that use formal economic metrics such as cost effectiveness to determine prices, coverage and reimbursement of new therapies. These assessments are increasingly implemented in established and emerging markets. In the EU, the newly-adopted Regulation (EU) 2021/2282 on Health Technology Assessment, or HTA Regulation, which will become effective in January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pStyle w:val="TextBody"/>
        <w:spacing w:lineRule="auto" w:line="25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international operations may expose us to business, regulatory, political, operational, financial, pricing and reimbursement risks associated with doing business outside of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business is subject to risks associated with conducting business internationally. Some of our suppliers and clinical trial sites are located outside of the United States. Furthermore, if we, Merck or any future partner succeeds in developing any of our product candidates, we intend to market them in the EU and other jurisdictions in addition to the United States. If approved, we, Merck or any future partner may hire sales representatives and conduct physician and patient association outreach activities outside of the United States. Doing business internationally involves a number of challenges and risks, including but not limited to:</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multiple, conflicting and changing laws and regulations, such as privacy and data protection regulations, tax laws, export and import restrictions, employment laws, regulatory requirements and other governmental approvals, permits and licenses;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failure by us to obtain and maintain regulatory approvals for the use of our products in various countries;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rejection or qualification of foreign clinical trial data by the competent authorities of other countries;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delays or interruptions in the supply of clinical trial material resulting from any events affecting raw material or component supply or manufacturing capabilities abroad, including those that may result from the ongoing COVID-19 pandemic;</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additional potentially relevant third-party patent rights;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complexities and difficulties in obtaining, maintaining, protecting and enforcing our intellectual property;</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difficulties in staffing and managing foreign operations;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complexities associated with managing multiple payor reimbursement regimes, government payors or patient self-pay systems;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limits on our ability to penetrate international markets;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financial risks, such as longer payment cycles, difficulty collecting accounts receivable, the impact of inflation and local and regional financial crises on demand and payment for our products and exposure to foreign currency exchange rate fluctuations;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natural disasters, political, geopolitical and economic instability, including wars such as the conflict between Russia and Ukraine, terrorism and political unrest, disease outbreaks, epidemics and pandemics, including COVID-19 and related shelter-in-place orders, travel, social distancing and quarantine policies, boycotts, curtailment of trade and other business restrictions;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these factors could harm our ongoing international clinical operations and supply chain, as well as any future international expansion and operations and, consequently, our business, financial condition, prospects and results of operations.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Product liability lawsuits against us could cause us to incur substantial liabilities and to limit commercialization of any products that we may develop.</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face an inherent risk of product liability exposure related to the testing of our product candidates in human clinical trials and will face an even greater risk if we or our partner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decreased demand for any product candidates or products that we may develop;</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termination of clinical trial sites or entire trial programs;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injury to our reputation and significant negative media attention;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withdrawal of clinical trial participants;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significant costs to defend the related litigation;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substantial monetary awards to trial subjects or patients;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loss of revenue;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diversion of management and scientific resources from our business operations; and</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inability to commercialize any products that we may develop.</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the federal False Claims Act, or FCA, imposes criminal and civil penalties, including through civil whistleblower or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v:textbox>
              </v:rect>
            </w:pict>
          </mc:Fallback>
        </mc:AlternateContent>
      </w:r>
    </w:p>
    <w:p>
      <w:pPr>
        <w:pStyle w:val="TextBody"/>
        <w:spacing w:before="120" w:after="120"/>
        <w:ind w:left="0" w:right="0" w:hanging="360"/>
        <w:jc w:val="both"/>
        <w:rPr/>
      </w:pPr>
      <w:r>
        <w:rPr/>
      </w:r>
    </w:p>
    <w:p>
      <w:pPr>
        <w:pStyle w:val="TextBody"/>
        <w:spacing w:lineRule="auto" w:line="288" w:before="60" w:after="60"/>
        <w:jc w:val="both"/>
        <w:rPr>
          <w:rFonts w:ascii="Arial;sans-serif" w:hAnsi="Arial;sans-serif"/>
          <w:b w:val="false"/>
          <w:color w:val="000000"/>
          <w:sz w:val="20"/>
        </w:rPr>
      </w:pPr>
      <w:r>
        <w:rPr>
          <w:rFonts w:ascii="Arial;sans-serif" w:hAnsi="Arial;sans-serif"/>
          <w:b w:val="false"/>
          <w:color w:val="000000"/>
          <w:sz w:val="20"/>
        </w:rPr>
        <w:t>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Our business could be materially and adversely affected in the future by the effects of disease outbreaks, epidemics and pandemics, including the COVID-19 pandemic.</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Disease outbreaks, epidemics and pandemics, such as the COVID-19 pandemic, in regions where we have concentrations of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For example, our ability to attract additional clinical trial sites and principal investigators to conduct our clinical trials and to conduct the necessary clinical trial site initiation procedures was impacted by COVID-19 quarantines, shelter-in-place and similar restrictions imposed by federal, state and local governments. In addition, during the COVID-19 pandemic, we experienced, from time to time, a slower pace of clinical site initiation and clinical trial enrollment and a higher subject dropout rate than originally anticipated in certain of our clinical trials, which we believe may have been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General supply chain issues may be exacerbated during disease outbreaks, epidemics and pandemics and may also impact the ability of our clinical trial sites to obtain basic medical supplies used in our trials in a timely fashion, if at all. For example, in 2022 we were made aware of a shortage of tubes required for taking blood samples, requiring the use of tubes of a different size from those specified in one of our protocols. In addition, our CMOs’ facilities and operations have been adversely affected by labor, raw material and component shortages, high turnover of staff and difficulties in hiring trained and qualified replacement staff during the COVID-19 pandemic. These difficulties have resulted in some delays in early development timelines and we could experience more significant disruptions to our supply chain and operations as a result of disease outbreaks, epidemics or pandemics in the future.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For example, early in the COVID-19 pandemic, our aldafermin drug product CMO advised us that it could be required under orders of the U.S. government to allocate manufacturing capacity to the manufacture or distribution of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6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COVID-19 vaccines.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COVID-19 continues to evolve, and the extent to which COVID-19 may impact our business, results of operations and financial position will depend on future developments, which are highly uncertain and cannot be predicted with confidence, such as the emergence, infectiousness and severity of new variants, travel restrictions, quarantines and social distancing in the United States and other countries, business closures or business disruptions, global supply challenges, and the effectiveness of actions in the United States and other countries to contain and treat the disease. New health epidemics or pandemics may emerge that result in similar or more severe disruptions to our business. To the extent the effects of the continuing COVID-19 pandemic, or any future disease outbreak, epidemic or pandemic, adversely affects our business and results of operations, it also may have the effect of heightening many of the other risks and uncertainties described elsewhere in this ‘‘Risk Factors’’ section.</w:t>
      </w:r>
    </w:p>
    <w:p>
      <w:pPr>
        <w:pStyle w:val="TextBody"/>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Risks Related to Regulatory Approvals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The regulatory approval processes of the FDA and comparable foreign health authorities are lengthy and inherently unpredictable. Our inability to obtain regulatory approval for our product candidates would substantially harm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could fail to receive regulatory approval from the FDA or a comparable foreign health authority for many reasons, including:</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disagreement with the design or implementation of our clinical trials;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 is safe and effective for its proposed indication;</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failure of results of clinical trials to meet the level of statistical significance required for approval;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candidate’s clinical and other benefits outweigh its safety risks;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disagreement with our interpretation of data from preclinical studies or clinical trials;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insufficiency of data collected from clinical trials to support the submission and filing of a BLA or other submission or to obtain regulatory approval;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failure to obtain approval of the manufacturing processes or facilities of third-party manufacturers with whom we contract for clinical and commercial supplies;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unfavorable quality review or audit/inspection findings; or</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changes in the approval policies or regulations that render our preclinical and clinical data insufficient for approval.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or conditional marketing authorization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medical needs for the disease or condition, and the FDA may grant accelerated approval based on a surrogate endpoint reasonably likely to predict clinical benefit. However, Fast Track designation does not guarantee, or in any way change the standards for, full product approval.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agents in development for NASH have, or are expected to, opt for an accelerated approval pathway and rely on surrogate endpoints for initial approval. If we or a future partner seek accelerated approval for one of our product candidates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or NDA,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 In addition, if full approval is granted for another product in the same indication for which we are seeking accelerated approval for one of our product candidates, the accelerated approval pathway may no longer be available to us or a future partner for our product candidate.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Sponsors that benefit from PRIME designation are potentially eligible for accelerated assessment of their marketing authorization applications, although this is not guaranteed. If a product for which PRIME designation was granted is the subject of an accelerated assessment, the product may be placed on the market in the EU before our product candidate with a similar therapeutic indication.</w:t>
      </w:r>
    </w:p>
    <w:p>
      <w:pPr>
        <w:pStyle w:val="TextBody"/>
        <w:spacing w:lineRule="auto" w:line="288" w:before="120" w:after="120"/>
        <w:jc w:val="both"/>
        <w:rPr>
          <w:rFonts w:ascii="Arial;sans-serif" w:hAnsi="Arial;sans-serif"/>
          <w:b/>
          <w:i/>
          <w:color w:val="000000"/>
          <w:sz w:val="20"/>
        </w:rPr>
      </w:pPr>
      <w:r>
        <w:rPr>
          <w:rFonts w:ascii="Arial;sans-serif" w:hAnsi="Arial;sans-serif"/>
          <w:b/>
          <w:i/>
          <w:color w:val="000000"/>
          <w:sz w:val="20"/>
        </w:rPr>
        <w:t>Our failure to obtain health authority approval in foreign jurisdictions would prevent us from marketing our product candidates outside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our partners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Even if our product candidates receive regulatory approval, they may still face future development and regulatory difficulties.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REMS or similar strategy imposed in an EU member state or other foreign country, or significant labeling restrictions or requirements in an approved label such as a boxed warning, could have a negative impact on our ability to recoup our R&amp;D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or the manufacturing facilities for our product candidates fail to comply with applicable regulatory requirements, or if our product candidates are found to cause undesirable or unacceptable side effects, a regulatory agency may:</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issue safety alerts, Dear Healthcare Provider letters, press releases or other communications containing warnings about such product;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mandate modifications to promotional materials or require us to provide corrective information to healthcare practitioners;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require that we conduct and complete post-marketing studies;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require us to enter into a consent decree, which can include imposition of various fines, reimbursements for inspection costs, required due dates for specific actions and penalties for noncompliance;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seek an injunction or impose civil or criminal penalties or monetary fines;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suspend marketing of, withdraw regulatory approval of or initiate a recall of such product;</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suspend any ongoing clinical trials;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refuse to approve pending applications or supplements to applications filed by us;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suspend or impose restrictions on operations, including costly new manufacturing requirements; or</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seize or detain products or refuse to permit the import or export of products.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occurrence of any event or penalty described above may inhibit our ability to commercialize our products and generate revenue.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EU, the advertising and promotion of medicinal products are subject to both EU and EU member state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Failure to comply with EU, EU member state, and other country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In addition, legislation adopted at the EU level may be implemented differently by individual member states. These regulations, and their differing implementations in member states, increase our legal and financial compliance costs and may make some activities more time-consuming and expensive.</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Even if we are able to obtain regulatory approvals for any of our product candidates, if they exhibit harmful side effects after approval, our regulatory approvals could be revoked or otherwise negatively impacted.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Additionally, we may be required to conduct additional clinical trials, make changes in labeling of our product, reformulate our product or make changes and obtain new approvals for our and our suppliers’ manufacturing facilities for our product candidates. Equivalent obligations could be imposed by the foreign health authorities.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Risks Related to Our Intellectual Property</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success depends in significant part upon our ability to obtain and maintain intellectual property protection for our products and technologies.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success depends in significant part on our ability and the ability of our current or future licensors, licensees, partners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partners or collaborators may not be able to prepare, file and prosecute all necessary or desirable patent applications at a reasonable cost or in a timely manner. It is also possible that we or our current or future licensors, licensees, partners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partners' or collaborators’ may not result in patents being issued that protect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technology or product candidates, or products resulting therefrom, in whole or in part, or that effectively prevent others from commercializing competitive technologies and products.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Similar to other biotechnology companies, our patent position is generally highly uncertain and involves complex legal and factual questions. In this regard, we cannot be certain that we or our current or future licensors, licensees, partners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partners or collaborators to obtain new patents or to enforce existing patents and patents we may obtain in the future. In any event, the issuance, scope, validity, enforceability and commercial value of our patent rights and those of our current or future licensors, licensees, partners or collaborators are highly uncertain and may not effectively prevent others from commercializing competitive technologies and products.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partners or collaborators to perform these activities, which means that these patent applications may not be prosecuted, and these patents may not be enforced, in a manner consistent with the best interests of our business. If our current or future licensors, licensees, partners or collaborators fail to establish, maintain, protect or enforce such patents and other intellectual property rights, such rights may be reduced or eliminated. If our current or future licensors, licensees, partners or collaborators are not fully cooperative or disagree with us as to the prosecution, maintenance or enforcement of any patent rights, such patent rights could be compromised.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partners or collaborators, to enforce intellectual property rights around the world may be inadequate to obtain a significant commercial advantage from the intellectual property that we own or license.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own one issued United States patent that covers our NGM621 product candidate, although the product and related compositions-of-matter and methods of use are disclosed and claimed in other pending U.S. non-provisional and/or national stage applications in particular foreign countries. We do not currently own or have a license to any issued patents that cover our NGM707, NGM831 and NGM438 product candidates, although these product candidates are disclosed and claimed in our pending U.S. non-provisional and international applications.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may be unable to obtain intellectual property rights or technologies necessary to develop and commercialize our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could lose the ability to continue the development and commercialization of our products or product candidates if we breach any license agreement related to those products or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commercial success depends upon our ability, and the ability of our current and future licensors, licensees, partners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may become involved in lawsuits or other proceedings to protect or enforce our intellectual property, which could be expensive, time-consuming and unsuccessful and have a material adverse effect on the success of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infringe patents or misappropriate or otherwise violate intellectual property rights owned or controlled by us or our current or future licensors, licensees, partners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partners or collaborators. Litigation could result in substantial costs and diversion of management resources, which could harm our business and financial results.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or our current or future licensors, licensees, partners or collaborators initiated legal proceedings against a third party to enforce a patent covering a product candidate, the defendant could counterclaim that such patent is invalid or unenforceable. In patent litigation in the United States, defendant counterclaims alleging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partners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initiate legal proceedings against us or our current or future licensors, licensees, partners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partners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partners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pStyle w:val="TextBody"/>
        <w:spacing w:lineRule="auto" w:line="288" w:before="120" w:after="120"/>
        <w:ind w:left="0" w:right="0" w:firstLine="720"/>
        <w:jc w:val="both"/>
        <w:rPr/>
      </w:pPr>
      <w:r>
        <w:rPr>
          <w:rFonts w:ascii="Arial;sans-serif" w:hAnsi="Arial;sans-serif"/>
          <w:b w:val="false"/>
          <w:color w:val="000000"/>
          <w:sz w:val="20"/>
        </w:rPr>
        <w:t xml:space="preserve">Third-party pre-issuance submission of prior art to the USPTO, opposition, derivation, revocation, reexamination,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partners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partners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pStyle w:val="TextBody"/>
        <w:spacing w:lineRule="auto" w:line="288" w:before="120" w:after="120"/>
        <w:ind w:left="0" w:right="0" w:firstLine="720"/>
        <w:jc w:val="both"/>
        <w:rPr/>
      </w:pPr>
      <w:r>
        <w:rPr>
          <w:rFonts w:ascii="Arial;sans-serif" w:hAnsi="Arial;sans-serif"/>
          <w:b w:val="false"/>
          <w:color w:val="000000"/>
          <w:sz w:val="20"/>
        </w:rPr>
        <w:t xml:space="preserve">Third parties may initiate legal proceedings against us or our current or future licensors, licensees, partners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partners or collaborators may be subject to claims that former employees, partners, collaborators or other third parties have an interest in our owned or in-licensed patents, trade secrets or other intellectual property as an inventor or co-inventor. Litigation may be necessary to defend against these claims.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 unfavorable outcome in any such proceeding could require us and our current or future licensors, licensees, partners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may not be able to protect our intellectual property rights throughout the world.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Europe, expected by the end of 2023, European applications will soon have the option, upon grant of a patent, of becoming a Unitary Patent which will be subject to the jurisdiction of the Unitary Patent Court, or the UPC. This will be a significant change in European patent practice. As the UPC is a new court system, there is no precedent for the court, increasing the uncertainty of any litigation. It is our initial belief that the UPC, while offering a cheaper streamlined process, has potential disadvantages to patent holders, such as making a single European patent vulnerable in all jurisdictions when challenged in a single jurisdiction.</w:t>
      </w:r>
    </w:p>
    <w:p>
      <w:pPr>
        <w:pStyle w:val="TextBody"/>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The market price of our common stock has been and may continue to be volatile, and you could lose all or part of your investment.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market price for our common stock has fluctuated significantly from time to time, for example, varying between a high of $32.12 on March 17, 2021 and a low of $2.92 on October 17, 2022.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interim or final results of clinical trials of our product candidates or those of our competitors;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our ability to raise adequate capital through public or private equity or debt offerings or negotiate potential BD Arrangements in a timely manner or at all;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success of competitive products or technologies;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regulatory actions with respect to our product candidates or our competitors’ product candidates or products;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timeline delays in our clinical trials, including delays resulting from the effects of the ongoing global COVID-19 pandemic or otherwise;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level of expenses related to any of our product candidates or clinical development programs;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hanging="360"/>
        <w:jc w:val="both"/>
        <w:rPr/>
      </w:pPr>
      <w:r>
        <w:rPr>
          <w:color w:val="000000"/>
        </w:rPr>
        <w:t>•</w:t>
      </w:r>
      <w:r>
        <w:rPr>
          <w:rFonts w:ascii="Arial;sans-serif" w:hAnsi="Arial;sans-serif"/>
          <w:b w:val="false"/>
          <w:color w:val="000000"/>
          <w:sz w:val="20"/>
        </w:rPr>
        <w:t>actual or anticipated changes in our growth rate relative to our competitors;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announcements by us or our competitors or partners of significant acquisitions, strategic collaborations, joint ventures or capital commitments;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regulatory, legal or payor developments in the United States and other countries;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recruitment or departure of key personnel;</w:t>
      </w:r>
    </w:p>
    <w:p>
      <w:pPr>
        <w:pStyle w:val="TextBody"/>
        <w:spacing w:before="60" w:after="60"/>
        <w:jc w:val="both"/>
        <w:rPr/>
      </w:pPr>
      <w:r>
        <w:rPr/>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the results of our efforts to in-license or acquire additional product candidates or products;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fluctuations in the valuation of companies perceived by investors to be comparable to us;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share price and volume fluctuations attributable to inconsistent trading volume levels of our shares;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announcement or expectation of additional financing efforts;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purchases or sales of our common stock by us, our insiders or our other stockholders;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changes in the structure of healthcare payment systems;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 xml:space="preserve">market conditions in the pharmaceutical and biotechnology sectors; and </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general economic, industry and market conditions.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the conflict between Russia and Ukraine and recent and potential future bank failures,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effects of the ongoing COVID-19 pandemic and recent and potential future bank failures, macroeconomic factors including inflation and rising interest rates, and geopolitical instability, including instability resulting from the conflict between Russia and Ukraine and the related sanctions imposed against Russia,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Because of volatility in our trading price and trading volume, we may incur significant costs from class action securities litigation.</w:t>
      </w:r>
    </w:p>
    <w:p>
      <w:pPr>
        <w:pStyle w:val="TextBody"/>
        <w:spacing w:lineRule="auto" w:line="288" w:before="120" w:after="120"/>
        <w:ind w:left="0" w:right="0" w:firstLine="720"/>
        <w:jc w:val="both"/>
        <w:rPr/>
      </w:pPr>
      <w:r>
        <w:rPr>
          <w:rFonts w:ascii="Arial;sans-serif" w:hAnsi="Arial;sans-serif"/>
          <w:b w:val="false"/>
          <w:color w:val="000000"/>
          <w:sz w:val="20"/>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to the risk factor titled “</w:t>
      </w:r>
      <w:r>
        <w:rPr>
          <w:rFonts w:ascii="Arial;sans-serif" w:hAnsi="Arial;sans-serif"/>
          <w:b w:val="false"/>
          <w:i/>
          <w:color w:val="000000"/>
          <w:sz w:val="20"/>
        </w:rPr>
        <w:t>An active trading market for our common stock may not be sustained and sales of a substantial number of shares of our common stock in the public market could cause our stock price to fall.</w:t>
      </w:r>
      <w:r>
        <w:rPr>
          <w:color w:val="000000"/>
        </w:rPr>
        <w:t>”</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principal stockholders, including entities affiliated with The Column Group, Merck and management, own a substantial percentage of our stock and collectively will be able to exert significant control over matters subject to stockholder approval.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executive officers, directors, significant stockholders, including entities affiliated with The Column Group and Merck, and their respective affiliates, beneficially own a substantial amount of our voting stock. These stockholders collectively may be able to determine all matters requiring stockholder approval. For example, these stockholders collectively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An active trading market for our common stock may not be sustained and sales of a substantial number of shares of our common stock in the public market could cause our stock price to fall.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trading days during the three months ended March 31, 2023, the average daily trading volume for our common stock on The Nasdaq Global Select Market was only 338,500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do not intend to pay dividends on our common stock so any returns will be limited to the value of our stock.</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 board of directors divided into three classes serving staggered three-year terms, such that not all members of the board will be elected at one time;</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authorizing the issuance of “blank check” preferred stock, the terms of which we may establish and shares of which we may issue without stockholder approval;</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prohibiting cumulative voting in the election of directors, which would otherwise allow for less than a majority of stockholders to elect director candidates;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prohibiting stockholder action by written consent, thereby requiring all stockholder actions to be taken at a meeting of our stockholders;</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eliminating the ability of stockholders to call a special meeting of stockholders; and</w:t>
      </w:r>
    </w:p>
    <w:p>
      <w:pPr>
        <w:pStyle w:val="TextBody"/>
        <w:spacing w:lineRule="auto" w:line="288" w:before="60" w:after="60"/>
        <w:ind w:left="0" w:right="0" w:hanging="360"/>
        <w:jc w:val="both"/>
        <w:rPr/>
      </w:pPr>
      <w:r>
        <w:rPr>
          <w:color w:val="000000"/>
        </w:rPr>
        <w:t>•</w:t>
      </w:r>
      <w:r>
        <w:rPr>
          <w:rFonts w:ascii="Arial;sans-serif" w:hAnsi="Arial;sans-serif"/>
          <w:b w:val="false"/>
          <w:color w:val="000000"/>
          <w:sz w:val="20"/>
        </w:rPr>
        <w:t>establishing advance notice requirements for nominations for election to the board of directors or for proposing matters that can be acted upon at stockholder meetings.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which may discourage, delay or prevent someone from acquiring us or merging with us whether or not it is desired by or beneficial to our stockholders. In addition, Section 203 of the Delaware General Corporation Law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70"/>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Certain provisions in our agreement with Merck may also deter a change of control. For example, under the Amended Collaboration Agreement,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 if any.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owed by any director, officer or other employee to us or our stockholders; any action asserting a claim against us or any director or officer or other employee arising pursuant to the Delaware General Corporation Law, our amended and restated certificate of incorporation or our amended and restated bylaws; any action with respect to the validity of our amended and restated certificate of incorporation or amended and restated bylaws; any action as to which the Delaware General Corporation Law confers jurisdiction to the Court of Chancery of the State of Delaware; or any action asserting a claim against us or any director or officer or other employee that is governed by the internal affairs doctrine. This provision would not apply to suits brought to enforce a duty or liability created by the Securities and Exchange Act of 1934, as amended, or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General Risk Factors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our CROs, our CMOs, our current and potential future partners and other third parties we rely on or partner with could experience a cybersecurity incident that could harm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collect, store and transmit proprietary, confidential and sensitive information, including personal information (such as health-related data), in the course of our business. Our technology systems and the information and data processed and stored in our technology systems or otherwise by us or on our behalf, and the technology systems of, and data accessed on our behalf by, our research collaborators, partners,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During times of war and other major conflicts, we, the third parties upon which we rely, and our customers may be vulnerable to a heightened risk of these attacks, including retaliatory cyber-attacks, that could materially disrupt our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7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systems and operations, supply chain, and ability to produce, sell and distribute our goods and services.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 Supply-chain attacks have also increased in frequency and severity, and we cannot guarantee that third parties’ infrastructure in our supply chain or our third-party partners’ supply chains have not been compromised. Our ability to monitor third parties on whom we rely to operate our business is limited, and these third parties may be subject to, and may expose us to, cyberattacks and other security incidents.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under certain data privacy and security obligations, be required to, or we may choose to, expend significant resources or modify our business activities (including our clinical trial activities) in an effort designed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functional areas of our workforce work remotely on a full- or part-time basis outside of our corporate network security protection boundaries or otherwise utilize network connections, computers and devices outside of our premises or network,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since 2020, none of which, to date, have caused material disruption to our business, or to our knowledge, involved a material security breach. For example,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These disclosures are costly, and the disclosures or the failure to comply with such requirements could lead to adverse consequences.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2"/>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The withdrawal of the United Kingdom from the EU, commonly referred to as Brexit, could increase our cost of doing business, reduce our gross margins or otherwise negatively impact our business and our financial results.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United Kingdom’s, or UK, withdrawal from the EU on January 31, 2020, commonly referred to as Brexit, has created significant uncertainty concerning the future relationship between the UK and the EU. The Medicines and Healthcare products Regulatory Agency, or MHRA, is now the UK’s standalone regulator.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December 24, 2020, the EU and UK reached an agreement in principle on the framework for their future relationship, the EU-U.K. Trade and Cooperation Agreement, or the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Among the changes that are now applied are that Great Britain (England, Scotland and Wales) are treated as a third country. Northern Ireland, with regard to EU regulations, continues to follow many aspects of EU regulatory rules. As part of the TCA, the EU and the UK recognize GMP inspections carried out by the other party and accept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eventual adoption of the Retained EU Law (Revocation and Reform) Bill that is currently going through the UK adoption procedure may, however, result in substantial change to the extent to which EU laws influence these and other actions in the UK.</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After running a public consultation which ended in December 2022, the UK government unilaterally agreed to permanently accept EU batch testing and batch release. However, it is not certain whether the UK will continue this approach, particularly following adoption of the current Retained EU Law (Revocation and Reform) Bill. If the UK were to adopt an approach whereby re-testing and/or re-release in the UK would be required, this could result in increased costs. Furthermore,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a separate regulatory submission process, approval process and a national marketing authorization. Northern Ireland, however, continues to be covered by the marketing authorizations granted by the European Commission.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UK regulatory framework in relation to clinical trials is derived from existing EU legislation (as implemented into UK law, through secondary legislation) and, as such, it falls within the scope of the Retained EU Law (Revocation and Reform) Bill as currently drafted. Adoption of the Retained EU Law (Revocation and Reform) Bill as currently drafted would result in the regulatory framework governing clinical trials in the UK being revoked unless Ministerial action were taken to retain or replace it. It is currently unclear to what extent the UK will seek to align its regulations with the EU following entry into application of the Clinical Trials Regulation in the EU which occurred on January 31, 2022.</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January 1, 2021, an applicant for a marketing authorization granted by the European Commission in accordance with the centralized procedure based on the opinion of the Committee for Medicinal Products for Human Use, or CHMP, of the EMA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two-year period from January 1, 2021, MHRA could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 In September 2022, the MHRA extended the procedure whereby it may rely on a decision taken by the European Commission when determining an application for a Great Britain marketing authorization until December 31, 2023.</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Orphan designation in Great Britain following Brexit is, unlike in the EU, not a pre-marketing authorization. Applications for orphan designation are made at the same time as an application for a marketing authorization. The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3"/>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criteria to be granted an orphan drug designation are essentially identical to those in the EU but based on the prevalence of the condition in Great Britain. It is therefore possible that medical conditions that were or would have been designated as orphan conditions in Great Britain prior to the end of the Transition Period are or would no longer be and that conditions that were not or would not have been designated as orphan conditions in the EU will be designated as such in Great Britain.</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a significant part of the regulatory framework in the UK applicable to our business and our product candidates is derived from EU legislation, Brexit has the potential of materially impacting the regulatory framework with respect to the development, manufacture, approval, import and placement of our product candidates on the market in the UK and the EU. The changes effected by the TCA, as well as any future changes in the regulatory framework governing medicinal products, including the adoption of the Retain EU Law (Revocation and Reform) Bill, could increase the costs and complexity of doing business in or with the UK, which could adversely affect our business.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information. For example, the EU GDPR, UK GDPR and other relevant laws that govern patient confidentiality and storage of personal health data may apply to our processing of personal information from clinical trials participants and other individuals located in the European Economic Area, or EEA, and/or the UK and, if any of our product candidates are approved, we may seek to commercialize those products in the EEA and/or the UK (as applicable).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at present materially aligned with, the EU GDPR, which together with the UK Data Protection Act of 2018, or UK DPA, covers the processing of personal information of UK residents. Non-compliance with UK GDPR may result in substantially similar adverse consequences to those in relation to the EU GDPR, including monetary penalties of up to £17.5 million or 4% of worldwide revenue, whichever is higher.</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June 28, 2021, the European Commission adopted an adequacy decision permitting flows of personal data between the EU and the UK to continue without additional requirements. The UK Government also adopted a reciprocal adequacy decision in respect of EEA member states permitting flows of personal data from the UK to the EEA. However, the European Commission's UK adequacy decision will automatically expire in June 2025 unless the European Commission re-assesses and renews/extends that decision and remains under review by the European Commission during this period. The entry into force of the US-UK Data Access Agreement on October 3, 2022 may put at risk the European Commission’s adequacy decision granted to the UK. If such adequacy decision were to be withdrawn, personal data could not flow freely between the UK and the EU and additional safeguards would need to be adopted, which could result in additional costs for us.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relationship between the UK and the EU in relation to certain aspects of data protection laws remains unclear, and it is unclear how UK data protection laws and regulations will develop in the medium to longer term, and how data transfers to and from the UK will be regulated in the long term. The UK’s Data Protection and Digital Information Bill, or the Bill, was re-introduced before the UK Parliament in March 2023, introducing reforms intended to update and simplify the UK’s data protection framework, deviating from the EU GDPR.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jurisdictions have enacted data localization laws and laws restricting cross-border transfers of personal information. In particular, regulators and courts in the EEA and the UK have significantly restricted the transfer of personal information to the United States and other countries whose privacy laws it believes are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4"/>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standard contractual clauses and the UK's international data transfer agreement, these mechanisms are subject to legal challenges, and there is no assurance that we can satisfy or rely on these measures to lawfully transfer personal information to the United States.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continue to monitor changes in data protection laws related to the cross-border transfer of personal information; however, uncertainty remains regarding any future regulations, interpretations of existing law or guidance that may be issued, particularly by the EU authorities. If we are unable to implement a valid compliance solution for cross-border transfers of personal information, or if the requirements for a legally-compliant transfer are too onerous, we will face increased exposure to significant adverse consequences, including substantial fines, regulatory actions, as well as injunctions against the export and processing of personal information from the EEA.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that regulate cybersecurity and non-personal data, such as data collected through the internet of things. Depending on how these laws are interpreted, we may have to make changes to our business practices and products to comply with such obligations.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the California Consumer Privacy Act of 2018, or CCPA,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In addition, the California Privacy Rights Act of 2020, or CPRA, which became operative January 1, 2023, expands the CCPA’s requirements, including in that it applies to personal information of business representatives and employees and establishes a new regulatory agency to implement and enforce the law. While the CCPA contains an exemption for certain personal information processed in connection with clinical trials, we may process other personal information that is subject to the CCPA and CPRA. Other states, such as Virginia and Colorado, have also passed comprehensive privacy laws, and similar laws are being considered in several other states, as well as at the federal and local levels. The evolving patchwork of differing state and federal privacy and data security laws increases the cost and complexity of operating our business and increase our exposure to liability.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also be bound by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(or third parties on which we rely) fail, or are perceived to have failed, to address or comply with data privacy and security obligations, we could face significant consequences, including (without limitation): government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5"/>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operations are vulnerable to interruption by fire, earthquake, power loss, telecommunications failure, terrorist activity and other events beyond our control, which could harm our business.</w:t>
      </w:r>
    </w:p>
    <w:p>
      <w:pPr>
        <w:pStyle w:val="TextBody"/>
        <w:spacing w:lineRule="auto" w:line="288" w:before="120" w:after="120"/>
        <w:ind w:left="0" w:right="0" w:firstLine="720"/>
        <w:jc w:val="both"/>
        <w:rPr/>
      </w:pPr>
      <w:r>
        <w:rPr>
          <w:rFonts w:ascii="Arial;sans-serif" w:hAnsi="Arial;sans-serif"/>
          <w:b w:val="false"/>
          <w:color w:val="000000"/>
          <w:sz w:val="20"/>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substances for NGM120, NGM707, NGM831, NGM438 and MK-3655 (NGM313) is located in Lithuania, a region that has experienced political unrest. Refer to the risk factor titled “</w:t>
      </w:r>
      <w:r>
        <w:rPr>
          <w:rFonts w:ascii="Arial;sans-serif" w:hAnsi="Arial;sans-serif"/>
          <w:b w:val="false"/>
          <w:i/>
          <w:color w:val="000000"/>
          <w:sz w:val="20"/>
        </w:rPr>
        <w:t>We rely completely on CMOs for the manufacture of our product candidates and are subject to many manufacturing risks, any of which could substantially increase our costs and limit supply of our product candidates and any future products</w:t>
      </w:r>
      <w:r>
        <w:rPr>
          <w:rFonts w:ascii="Arial;sans-serif" w:hAnsi="Arial;sans-serif"/>
          <w:b w:val="false"/>
          <w:color w:val="000000"/>
          <w:sz w:val="20"/>
        </w:rPr>
        <w:t>.” If our operations or the operations of third parties providing services to us are disrupted by any such occurrences, our business and future prospects may be negatively affected.</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We use and generate materials that may expose us to material liability.</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ability to use net operating loss carryforwards and certain other tax attributes to offset taxable income could be limited.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use our current year operating losses to offset taxable income from any revenue generated from operations, including BD Arrangements. To the extent that our taxable income exceeds any current year operating losses, we plan to use our net operating loss carryforwards to offset income that would otherwise be taxable. Our federal net operating loss carryforwards generated in tax years beginning before January 1, 2018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under Sections 382 and 383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and certain other pre-change tax attributes (such as R&amp;D tax credits)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and certain other tax attributes could be limited. State net operating loss carryforwards may be similarly limited. In addition, at the state level, there may be periods during which the use of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6"/>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net operating losses is suspended or otherwise limited, which could accelerate or permanently increase state taxes owed.</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New tax laws or regulations, changes to existing tax laws or regulations or changes in their application to us or our customers may have a material adverse effect on our business, cash flows, financial condition or results of operations.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recently enacted IRA imposes, among other rules, a 15% minimum tax on the book income of certain large corporations and a 1% excise tax on certain corporate stock repurchases. In addition, for certain research and experimental, or R&amp;E, expenses incurred in tax years beginning after December 31, 2021, the 2017 Tax Act requires the capitalization and amortization of such expenses over five years if incurred in the United States and fifteen years if incurred outside the United States, rather than deducting such expenses currently. Although there have been legislative proposals to repeal or defer the capitalization requirement, there can be no assurance that such requirement will be repealed, deferred or otherwise modified. Changes in corporate tax rates, the realization of net deferred tax assets relating to our operations, the taxation of foreign earnings and the deductibility of expenses under the 2017 Tax Act, as amended by the CARES Act or any future tax reform legislation could have a material impact on the value of our deferred tax assets, result in significant one-time charges and increase our future U.S. tax expense.</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Future changes in financial accounting standards or practices may cause adverse and unexpected revenue fluctuations and adversely affect our reported results of operations.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 </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7"/>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v:textbox>
              </v:rect>
            </w:pict>
          </mc:Fallback>
        </mc:AlternateContent>
      </w:r>
    </w:p>
    <w:p>
      <w:pPr>
        <w:pStyle w:val="TextBody"/>
        <w:spacing w:before="120" w:after="120"/>
        <w:ind w:left="0" w:right="0" w:hanging="360"/>
        <w:jc w:val="both"/>
        <w:rPr/>
      </w:pPr>
      <w:r>
        <w:rPr/>
      </w:r>
    </w:p>
    <w:p>
      <w:pPr>
        <w:pStyle w:val="TextBody"/>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404(b) of the Sarbanes-Oxley Act, and to allow our independent registered public accounting firm to issue an attestation report on the effectiveness of our internal control over financial reporting. Our compliance with Section 404(b) of the Sarbanes-Oxley Act requires that we incur substantial accounting expense and expend significant management efforts. We currently do not have an internal audit staff and outsource this function to a third party. We have hired and will need to retain our current accounting and financial staff who have the appropriate public company experience and technical accounting knowledge.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successfully implement our business plan and comply with Section 404(b)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attestation report from our independent registered public accounting firm as required under Section 404(b) of the Sarbanes-Oxley Act. This, in turn, could have an adverse impact on the price for our common stock and could adversely affect our ability to access the capital markets.</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Our disclosure controls and procedures may not prevent or detect all errors or acts of fraud.</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inherent limitations include the realities that judgments in decision-making can be faulty and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lineRule="auto" w:line="288" w:before="240" w:after="120"/>
        <w:jc w:val="both"/>
        <w:rPr>
          <w:rFonts w:ascii="Arial;sans-serif" w:hAnsi="Arial;sans-serif"/>
          <w:b/>
          <w:i/>
          <w:color w:val="000000"/>
          <w:sz w:val="20"/>
        </w:rPr>
      </w:pPr>
      <w:r>
        <w:rPr>
          <w:rFonts w:ascii="Arial;sans-serif" w:hAnsi="Arial;sans-serif"/>
          <w:b/>
          <w:i/>
          <w:color w:val="000000"/>
          <w:sz w:val="20"/>
        </w:rPr>
        <w:t>If securities or industry analysts do not publish research, or publish inaccurate or unfavorable research, about our business, our stock price and trading volume could decline.</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stock price and trading volume is heavily influenced by the way analysts and investors interpret our clinical trial results, any BD Arrangements we may enter into,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8"/>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both"/>
        <w:rPr>
          <w:rFonts w:ascii="Arial;sans-serif" w:hAnsi="Arial;sans-serif"/>
          <w:b/>
          <w:color w:val="000000"/>
          <w:sz w:val="20"/>
        </w:rPr>
      </w:pPr>
      <w:r>
        <w:rPr>
          <w:rFonts w:ascii="Arial;sans-serif" w:hAnsi="Arial;sans-serif"/>
          <w:b/>
          <w:color w:val="000000"/>
          <w:sz w:val="20"/>
        </w:rPr>
        <w:t>Item 5. Other Information.</w:t>
      </w:r>
    </w:p>
    <w:p>
      <w:pPr>
        <w:pStyle w:val="TextBody"/>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9"/>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77</w:t>
                      </w:r>
                    </w:p>
                  </w:txbxContent>
                </v:textbox>
              </v:rect>
            </w:pict>
          </mc:Fallback>
        </mc:AlternateContent>
      </w:r>
    </w:p>
    <w:p>
      <w:pPr>
        <w:pStyle w:val="TextBody"/>
        <w:spacing w:before="120" w:after="120"/>
        <w:ind w:left="0" w:right="0" w:hanging="36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CellMar>
          <w:top w:w="28" w:type="dxa"/>
          <w:left w:w="28" w:type="dxa"/>
          <w:bottom w:w="28" w:type="dxa"/>
          <w:right w:w="28" w:type="dxa"/>
        </w:tblCellMar>
      </w:tblPr>
      <w:tblGrid>
        <w:gridCol w:w="314"/>
        <w:gridCol w:w="275"/>
        <w:gridCol w:w="277"/>
        <w:gridCol w:w="109"/>
        <w:gridCol w:w="109"/>
        <w:gridCol w:w="109"/>
        <w:gridCol w:w="2029"/>
        <w:gridCol w:w="1784"/>
        <w:gridCol w:w="1790"/>
        <w:gridCol w:w="325"/>
        <w:gridCol w:w="325"/>
        <w:gridCol w:w="326"/>
        <w:gridCol w:w="314"/>
        <w:gridCol w:w="314"/>
        <w:gridCol w:w="315"/>
        <w:gridCol w:w="255"/>
        <w:gridCol w:w="255"/>
        <w:gridCol w:w="256"/>
        <w:gridCol w:w="215"/>
        <w:gridCol w:w="215"/>
        <w:gridCol w:w="294"/>
      </w:tblGrid>
      <w:tr>
        <w:trPr/>
        <w:tc>
          <w:tcPr>
            <w:tcW w:w="31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Schedule</w:t>
              <w:br/>
              <w:t>Form</w:t>
            </w:r>
          </w:p>
        </w:tc>
        <w:tc>
          <w:tcPr>
            <w:tcW w:w="9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File Number</w:t>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Filing</w:t>
              <w:br/>
              <w:t>Date</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w:t>
              </w:r>
            </w:hyperlink>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9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4/8/19</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Arial;sans-serif" w:hAnsi="Arial;sans-serif"/>
                  <w:b w:val="false"/>
                  <w:color w:val="0000FF"/>
                  <w:sz w:val="20"/>
                  <w:u w:val="single"/>
                </w:rPr>
                <w:t>Amended and Restated Bylaws</w:t>
              </w:r>
            </w:hyperlink>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9/28/18</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gm-20230331x10qex101.htm">
              <w:r>
                <w:rPr>
                  <w:rStyle w:val="InternetLink"/>
                  <w:rFonts w:ascii="Arial;sans-serif" w:hAnsi="Arial;sans-serif"/>
                  <w:b w:val="false"/>
                  <w:color w:val="0000FF"/>
                  <w:sz w:val="20"/>
                  <w:u w:val="single"/>
                </w:rPr>
                <w:t>Non-Employee Director Compensation Policy</w:t>
              </w:r>
            </w:hyperlink>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gm-20230331x10qex311.htm">
              <w:r>
                <w:rPr>
                  <w:rStyle w:val="InternetLink"/>
                  <w:rFonts w:ascii="Arial;sans-serif" w:hAnsi="Arial;sans-serif"/>
                  <w:b w:val="false"/>
                  <w:color w:val="0000FF"/>
                  <w:sz w:val="20"/>
                  <w:u w:val="single"/>
                </w:rPr>
                <w:t>Certification of Chief Executive Officer Pursuant to Rules 13a-14(a) and 15d-14(a) under the Securities Exchange Act of 1934, as Adopted Pursuant to Section 302 of the Sarbanes-Oxley Act of 2002</w:t>
              </w:r>
            </w:hyperlink>
            <w:r>
              <w:rPr>
                <w:rFonts w:ascii="Arial;sans-serif" w:hAnsi="Arial;sans-serif"/>
                <w:b w:val="false"/>
                <w:color w:val="000000"/>
                <w:sz w:val="20"/>
              </w:rPr>
              <w: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gm-20230331x10qex312.htm">
              <w:r>
                <w:rPr>
                  <w:rStyle w:val="InternetLink"/>
                  <w:rFonts w:ascii="Arial;sans-serif" w:hAnsi="Arial;sans-serif"/>
                  <w:b w:val="false"/>
                  <w:color w:val="0000FF"/>
                  <w:sz w:val="20"/>
                  <w:u w:val="single"/>
                </w:rPr>
                <w:t>Certification of Chief Financial Officer Pursuant to Rules 13a-14(a) and 15d-14(a) under the Securities Exchange Act of 1934, as Adopted Pursuant to Section 302 of the Sarbanes-Oxley Act of 2002</w:t>
              </w:r>
            </w:hyperlink>
            <w:r>
              <w:rPr>
                <w:rFonts w:ascii="Arial;sans-serif" w:hAnsi="Arial;sans-serif"/>
                <w:b w:val="false"/>
                <w:color w:val="000000"/>
                <w:sz w:val="20"/>
              </w:rPr>
              <w: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gm-20230331x10qex321.htm">
              <w:r>
                <w:rPr>
                  <w:rStyle w:val="InternetLink"/>
                  <w:rFonts w:ascii="Arial;sans-serif" w:hAnsi="Arial;sans-serif"/>
                  <w:b w:val="false"/>
                  <w:color w:val="0000FF"/>
                  <w:sz w:val="20"/>
                  <w:u w:val="single"/>
                </w:rPr>
                <w:t>Certification of Chief Executive Officer and Chief Financial Officer Pursuant to 18 U.S.C. Section 1350, as Adopted Pursuant to Section 906 of the Sarbanes-Oxley Act of 2002</w:t>
              </w:r>
            </w:hyperlink>
            <w:r>
              <w:rPr>
                <w:rFonts w:ascii="Arial;sans-serif" w:hAnsi="Arial;sans-serif"/>
                <w:b w:val="false"/>
                <w:color w:val="000000"/>
                <w:sz w:val="20"/>
              </w:rPr>
              <w: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Filed or furnished herewith.</w:t>
      </w:r>
    </w:p>
    <w:p>
      <w:pPr>
        <w:pStyle w:val="TextBody"/>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Indicates management contract or compensatory plan or arrangement.</w:t>
      </w:r>
    </w:p>
    <w:p>
      <w:pPr>
        <w:pStyle w:val="TextBody"/>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The certifications attached as Exhibit 32.1 accompany this Quarterly Report on Form 10-Q are not deemed filed with the SEC and are not to be incorporated by reference into any filing of NGM Biopharmaceuticals,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78</w:t>
                      </w:r>
                    </w:p>
                  </w:txbxContent>
                </v:textbox>
              </v:rect>
            </w:pict>
          </mc:Fallback>
        </mc:AlternateContent>
      </w:r>
    </w:p>
    <w:p>
      <w:pPr>
        <w:pStyle w:val="TextBody"/>
        <w:spacing w:before="120" w:after="120"/>
        <w:ind w:left="0" w:right="0" w:hanging="360"/>
        <w:jc w:val="both"/>
        <w:rPr/>
      </w:pPr>
      <w:r>
        <w:rPr/>
      </w:r>
    </w:p>
    <w:p>
      <w:pPr>
        <w:pStyle w:val="TextBody"/>
        <w:spacing w:lineRule="auto" w:line="288" w:before="240" w:after="12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40" w:after="12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100" w:after="120"/>
        <w:jc w:val="both"/>
        <w:rPr/>
      </w:pPr>
      <w:r>
        <w:rPr/>
      </w:r>
    </w:p>
    <w:p>
      <w:pPr>
        <w:pStyle w:val="TextBody"/>
        <w:spacing w:before="100" w:after="120"/>
        <w:jc w:val="both"/>
        <w:rPr/>
      </w:pPr>
      <w:r>
        <w:rPr/>
      </w:r>
    </w:p>
    <w:tbl>
      <w:tblPr>
        <w:tblW w:w="5698" w:type="dxa"/>
        <w:jc w:val="left"/>
        <w:tblInd w:w="0" w:type="dxa"/>
        <w:tblCellMar>
          <w:top w:w="28" w:type="dxa"/>
          <w:left w:w="28" w:type="dxa"/>
          <w:bottom w:w="28" w:type="dxa"/>
          <w:right w:w="28" w:type="dxa"/>
        </w:tblCellMar>
      </w:tblPr>
      <w:tblGrid>
        <w:gridCol w:w="624"/>
        <w:gridCol w:w="547"/>
        <w:gridCol w:w="553"/>
        <w:gridCol w:w="134"/>
        <w:gridCol w:w="134"/>
        <w:gridCol w:w="136"/>
        <w:gridCol w:w="1045"/>
        <w:gridCol w:w="1045"/>
        <w:gridCol w:w="1480"/>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NGM Biopharmaceuticals, Inc.</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 and Director</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President and Chief Financial Officer</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81"/>
                <a:graphic xmlns:a="http://schemas.openxmlformats.org/drawingml/2006/main">
                  <a:graphicData uri="http://schemas.microsoft.com/office/word/2010/wordprocessingShape">
                    <wps:wsp>
                      <wps:cNvSpPr txBox="1"/>
                      <wps:spPr>
                        <a:xfrm>
                          <a:off x="0" y="0"/>
                          <a:ext cx="6480175" cy="222250"/>
                        </a:xfrm>
                        <a:prstGeom prst="rect"/>
                      </wps:spPr>
                      <wps:txb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79</w:t>
                      </w:r>
                    </w:p>
                  </w:txbxContent>
                </v:textbox>
              </v:rect>
            </w:pict>
          </mc:Fallback>
        </mc:AlternateContent>
      </w:r>
    </w:p>
    <w:p>
      <w:pPr>
        <w:pStyle w:val="TextBody"/>
        <w:spacing w:lineRule="auto" w:line="240" w:before="0" w:after="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spacing w:before="0" w:after="0"/>
        <w:ind w:left="0" w:right="0" w:firstLine="720"/>
        <w:jc w:val="right"/>
        <w:rPr/>
      </w:pPr>
      <w:r>
        <w:rPr/>
      </w:r>
    </w:p>
    <w:p>
      <w:pPr>
        <w:pStyle w:val="TextBody"/>
        <w:spacing w:lineRule="auto" w:line="268" w:before="0" w:after="0"/>
        <w:jc w:val="center"/>
        <w:rPr>
          <w:rFonts w:ascii="Arial;sans-serif" w:hAnsi="Arial;sans-serif"/>
          <w:b/>
          <w:color w:val="000000"/>
          <w:sz w:val="24"/>
        </w:rPr>
      </w:pPr>
      <w:r>
        <w:rPr>
          <w:rFonts w:ascii="Arial;sans-serif" w:hAnsi="Arial;sans-serif"/>
          <w:b/>
          <w:color w:val="000000"/>
          <w:sz w:val="24"/>
        </w:rPr>
        <w:t xml:space="preserve">NGM Biopharmaceuticals, Inc. </w:t>
      </w:r>
    </w:p>
    <w:p>
      <w:pPr>
        <w:pStyle w:val="TextBody"/>
        <w:spacing w:lineRule="auto" w:line="268" w:before="0" w:after="0"/>
        <w:jc w:val="center"/>
        <w:rPr>
          <w:rFonts w:ascii="Arial;sans-serif" w:hAnsi="Arial;sans-serif"/>
          <w:b/>
          <w:color w:val="000000"/>
          <w:sz w:val="24"/>
        </w:rPr>
      </w:pPr>
      <w:r>
        <w:rPr>
          <w:rFonts w:ascii="Arial;sans-serif" w:hAnsi="Arial;sans-serif"/>
          <w:b/>
          <w:color w:val="000000"/>
          <w:sz w:val="24"/>
        </w:rPr>
        <w:t>Non-Employee Director Compensation Policy</w:t>
      </w:r>
    </w:p>
    <w:p>
      <w:pPr>
        <w:pStyle w:val="TextBody"/>
        <w:spacing w:before="0" w:after="0"/>
        <w:rPr/>
      </w:pPr>
      <w:r>
        <w:rPr/>
      </w:r>
    </w:p>
    <w:p>
      <w:pPr>
        <w:pStyle w:val="TextBody"/>
        <w:spacing w:lineRule="auto" w:line="268" w:before="0" w:after="0"/>
        <w:jc w:val="center"/>
        <w:rPr>
          <w:rFonts w:ascii="Arial;sans-serif" w:hAnsi="Arial;sans-serif"/>
          <w:b/>
          <w:color w:val="000000"/>
          <w:sz w:val="24"/>
        </w:rPr>
      </w:pPr>
      <w:r>
        <w:rPr>
          <w:rFonts w:ascii="Arial;sans-serif" w:hAnsi="Arial;sans-serif"/>
          <w:b/>
          <w:color w:val="000000"/>
          <w:sz w:val="24"/>
        </w:rPr>
        <w:t>Approved by the Board of Directors: March 8, 2023</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Each member of the Board of Directors (the “</w:t>
      </w:r>
      <w:r>
        <w:rPr>
          <w:rFonts w:ascii="Arial;sans-serif" w:hAnsi="Arial;sans-serif"/>
          <w:b/>
          <w:i/>
          <w:color w:val="000000"/>
          <w:sz w:val="24"/>
        </w:rPr>
        <w:t>Board</w:t>
      </w:r>
      <w:r>
        <w:rPr>
          <w:color w:val="000000"/>
        </w:rPr>
        <w:t>”</w:t>
      </w:r>
      <w:r>
        <w:rPr>
          <w:rFonts w:ascii="Arial;sans-serif" w:hAnsi="Arial;sans-serif"/>
          <w:b w:val="false"/>
          <w:color w:val="000000"/>
          <w:sz w:val="24"/>
        </w:rPr>
        <w:t>) who is not also serving as an employee of NGM Biopharmaceuticals, Inc. (“</w:t>
      </w:r>
      <w:r>
        <w:rPr>
          <w:rFonts w:ascii="Arial;sans-serif" w:hAnsi="Arial;sans-serif"/>
          <w:b/>
          <w:i/>
          <w:color w:val="000000"/>
          <w:sz w:val="24"/>
        </w:rPr>
        <w:t>NGM</w:t>
      </w:r>
      <w:r>
        <w:rPr>
          <w:color w:val="000000"/>
        </w:rPr>
        <w:t>”</w:t>
      </w:r>
      <w:r>
        <w:rPr>
          <w:rFonts w:ascii="Arial;sans-serif" w:hAnsi="Arial;sans-serif"/>
          <w:b w:val="false"/>
          <w:color w:val="000000"/>
          <w:sz w:val="24"/>
        </w:rPr>
        <w:t>) or any of its subsidiaries (each such member, an “</w:t>
      </w:r>
      <w:r>
        <w:rPr>
          <w:rFonts w:ascii="Arial;sans-serif" w:hAnsi="Arial;sans-serif"/>
          <w:b/>
          <w:i/>
          <w:color w:val="000000"/>
          <w:sz w:val="24"/>
        </w:rPr>
        <w:t>Eligible Director</w:t>
      </w:r>
      <w:r>
        <w:rPr>
          <w:color w:val="000000"/>
        </w:rPr>
        <w:t>”</w:t>
      </w:r>
      <w:r>
        <w:rPr>
          <w:rFonts w:ascii="Arial;sans-serif" w:hAnsi="Arial;sans-serif"/>
          <w:b w:val="false"/>
          <w:color w:val="000000"/>
          <w:sz w:val="24"/>
        </w:rPr>
        <w:t>) will receive the compensation described in this Non-Employee Director Compensation Policy (the “</w:t>
      </w:r>
      <w:r>
        <w:rPr>
          <w:rFonts w:ascii="Arial;sans-serif" w:hAnsi="Arial;sans-serif"/>
          <w:b/>
          <w:i/>
          <w:color w:val="000000"/>
          <w:sz w:val="24"/>
        </w:rPr>
        <w:t>Director Compensation Policy</w:t>
      </w:r>
      <w:r>
        <w:rPr>
          <w:color w:val="000000"/>
        </w:rPr>
        <w:t>”</w:t>
      </w:r>
      <w:r>
        <w:rPr>
          <w:rFonts w:ascii="Arial;sans-serif" w:hAnsi="Arial;sans-serif"/>
          <w:b w:val="false"/>
          <w:color w:val="000000"/>
          <w:sz w:val="24"/>
        </w:rPr>
        <w:t>).</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The Director Compensation Policy became effective on April 4, 2019 (the “</w:t>
      </w:r>
      <w:r>
        <w:rPr>
          <w:rFonts w:ascii="Arial;sans-serif" w:hAnsi="Arial;sans-serif"/>
          <w:b/>
          <w:i/>
          <w:color w:val="000000"/>
          <w:sz w:val="24"/>
        </w:rPr>
        <w:t>Effective Date</w:t>
      </w:r>
      <w:r>
        <w:rPr>
          <w:color w:val="000000"/>
        </w:rPr>
        <w:t>”</w:t>
      </w:r>
      <w:r>
        <w:rPr>
          <w:rFonts w:ascii="Arial;sans-serif" w:hAnsi="Arial;sans-serif"/>
          <w:b w:val="false"/>
          <w:color w:val="000000"/>
          <w:sz w:val="24"/>
        </w:rPr>
        <w:t>). The Director Compensation Policy may be amended at any time in the sole discretion of the Board. Capitalized terms not explicitly defined in this Director Compensation Policy but defined in Company’s 2018 Equity Incentive Plan, as amended and restated from time to time, or any successor equity incentive plan adopted by NGM (the “</w:t>
      </w:r>
      <w:r>
        <w:rPr>
          <w:rFonts w:ascii="Arial;sans-serif" w:hAnsi="Arial;sans-serif"/>
          <w:b/>
          <w:i/>
          <w:color w:val="000000"/>
          <w:sz w:val="24"/>
        </w:rPr>
        <w:t>Plan</w:t>
      </w:r>
      <w:r>
        <w:rPr>
          <w:color w:val="000000"/>
        </w:rPr>
        <w:t>”</w:t>
      </w:r>
      <w:r>
        <w:rPr>
          <w:rFonts w:ascii="Arial;sans-serif" w:hAnsi="Arial;sans-serif"/>
          <w:b w:val="false"/>
          <w:color w:val="000000"/>
          <w:sz w:val="24"/>
        </w:rPr>
        <w:t xml:space="preserve">), will have the same definitions as in the Plan. </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An Eligible Director may decline all or any portion of his or her compensation by giving notice to NGM prior to the date cash is to be paid or equity awards are to be granted, as the case may be. </w:t>
      </w:r>
    </w:p>
    <w:p>
      <w:pPr>
        <w:pStyle w:val="TextBody"/>
        <w:spacing w:before="0" w:after="0"/>
        <w:rPr/>
      </w:pPr>
      <w:r>
        <w:rPr/>
      </w:r>
    </w:p>
    <w:p>
      <w:pPr>
        <w:pStyle w:val="TextBody"/>
        <w:spacing w:lineRule="auto" w:line="268" w:before="0" w:after="0"/>
        <w:jc w:val="both"/>
        <w:rPr>
          <w:rFonts w:ascii="Arial;sans-serif" w:hAnsi="Arial;sans-serif"/>
          <w:b/>
          <w:color w:val="000000"/>
          <w:sz w:val="24"/>
        </w:rPr>
      </w:pPr>
      <w:r>
        <w:rPr>
          <w:rFonts w:ascii="Arial;sans-serif" w:hAnsi="Arial;sans-serif"/>
          <w:b/>
          <w:color w:val="000000"/>
          <w:sz w:val="24"/>
        </w:rPr>
        <w:t xml:space="preserve">Philosophy </w:t>
      </w:r>
    </w:p>
    <w:p>
      <w:pPr>
        <w:pStyle w:val="TextBody"/>
        <w:spacing w:before="0" w:after="0"/>
        <w:rPr/>
      </w:pPr>
      <w:r>
        <w:rPr/>
      </w:r>
    </w:p>
    <w:p>
      <w:pPr>
        <w:pStyle w:val="TextBody"/>
        <w:spacing w:lineRule="auto" w:line="268" w:before="0" w:after="0"/>
        <w:jc w:val="both"/>
        <w:rPr>
          <w:rFonts w:ascii="Arial;sans-serif" w:hAnsi="Arial;sans-serif"/>
          <w:b w:val="false"/>
          <w:color w:val="000000"/>
          <w:sz w:val="24"/>
        </w:rPr>
      </w:pPr>
      <w:r>
        <w:rPr>
          <w:rFonts w:ascii="Arial;sans-serif" w:hAnsi="Arial;sans-serif"/>
          <w:b w:val="false"/>
          <w:color w:val="000000"/>
          <w:sz w:val="24"/>
        </w:rPr>
        <w:t xml:space="preserve">The Director Compensation Policy is designed to attract and retain experienced, talented individuals to serve on the Board. The Board anticipates that the Board (or a duly authorized committee thereof) will generally review Eligible Director compensation on an annual basis. The Director Compensation Policy, as amended from time to time, may take into account the time commitment expected of Eligible Directors, best practices and market rates in director compensation, the economic position of NGM, broader economic conditions, historical compensation structure, the advice of the compensation consultant that the Compensation Committee of the Board or the Board may retain from time to time, and the potential dilutive effect of equity awards on our stockholders. </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Under the Director Compensation Policy, Eligible Directors receive cash compensation in the form of retainers to recognize their level of responsibility as well as the necessary time commitment involved in serving in a leadership role and/or on a committee of the Board (a “</w:t>
      </w:r>
      <w:r>
        <w:rPr>
          <w:rFonts w:ascii="Arial;sans-serif" w:hAnsi="Arial;sans-serif"/>
          <w:b/>
          <w:i/>
          <w:color w:val="000000"/>
          <w:sz w:val="24"/>
        </w:rPr>
        <w:t>Committee</w:t>
      </w:r>
      <w:r>
        <w:rPr>
          <w:color w:val="000000"/>
        </w:rPr>
        <w:t>”</w:t>
      </w:r>
      <w:r>
        <w:rPr>
          <w:rFonts w:ascii="Arial;sans-serif" w:hAnsi="Arial;sans-serif"/>
          <w:b w:val="false"/>
          <w:color w:val="000000"/>
          <w:sz w:val="24"/>
        </w:rPr>
        <w:t xml:space="preserve">).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94995"/>
                <wp:effectExtent l="0" t="0" r="0" b="0"/>
                <wp:wrapNone/>
                <wp:docPr id="82" name="Frame82"/>
                <a:graphic xmlns:a="http://schemas.openxmlformats.org/drawingml/2006/main">
                  <a:graphicData uri="http://schemas.microsoft.com/office/word/2010/wordprocessingShape">
                    <wps:wsp>
                      <wps:cNvSpPr txBox="1"/>
                      <wps:spPr>
                        <a:xfrm>
                          <a:off x="0" y="0"/>
                          <a:ext cx="6480175" cy="594995"/>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4"/>
        </w:rPr>
      </w:pPr>
      <w:r>
        <w:rPr>
          <w:rFonts w:ascii="Arial;sans-serif" w:hAnsi="Arial;sans-serif"/>
          <w:b w:val="false"/>
          <w:color w:val="000000"/>
          <w:sz w:val="24"/>
        </w:rPr>
        <w:t>remains exercisable. We believe that the vesting acceleration provided in the case of a Change in Control is consistent with market practices and is critical to attracting and retaining high quality directors.</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To the extent this Director Compensation Policy would otherwise provide for compensation to any Eligible Director that would exceed any separate stockholder approved limit set forth in the Plan (including the limits set forth in Section 3(e) of the Plan), the benefits provided under this Director Compensation Policy will automatically be reduced to fall within such limits (or if previously paid, are subject to recoupment).</w:t>
      </w:r>
    </w:p>
    <w:p>
      <w:pPr>
        <w:pStyle w:val="TextBody"/>
        <w:spacing w:before="0" w:after="0"/>
        <w:rPr/>
      </w:pPr>
      <w:r>
        <w:rPr/>
      </w:r>
    </w:p>
    <w:p>
      <w:pPr>
        <w:pStyle w:val="TextBody"/>
        <w:spacing w:lineRule="auto" w:line="268" w:before="0" w:after="0"/>
        <w:rPr>
          <w:rFonts w:ascii="Arial;sans-serif" w:hAnsi="Arial;sans-serif"/>
          <w:b/>
          <w:color w:val="000000"/>
          <w:sz w:val="24"/>
        </w:rPr>
      </w:pPr>
      <w:r>
        <w:rPr>
          <w:rFonts w:ascii="Arial;sans-serif" w:hAnsi="Arial;sans-serif"/>
          <w:b/>
          <w:color w:val="000000"/>
          <w:sz w:val="24"/>
        </w:rPr>
        <w:t>Annual Cash Compensation</w:t>
      </w:r>
    </w:p>
    <w:p>
      <w:pPr>
        <w:pStyle w:val="TextBody"/>
        <w:spacing w:before="0" w:after="0"/>
        <w:rPr/>
      </w:pPr>
      <w:r>
        <w:rPr/>
      </w:r>
    </w:p>
    <w:p>
      <w:pPr>
        <w:pStyle w:val="TextBody"/>
        <w:spacing w:lineRule="auto" w:line="268" w:before="0" w:after="0"/>
        <w:jc w:val="both"/>
        <w:rPr>
          <w:rFonts w:ascii="Arial;sans-serif" w:hAnsi="Arial;sans-serif"/>
          <w:b w:val="false"/>
          <w:color w:val="000000"/>
          <w:sz w:val="24"/>
        </w:rPr>
      </w:pPr>
      <w:r>
        <w:rPr>
          <w:rFonts w:ascii="Arial;sans-serif" w:hAnsi="Arial;sans-serif"/>
          <w:b w:val="false"/>
          <w:color w:val="000000"/>
          <w:sz w:val="24"/>
        </w:rPr>
        <w:t>Each Eligible Director shall receive the cash compensation described below. The annual cash compensation amount set forth below is payable in equal quarterly installments in arrears within 30 days following each fiscal quarter in which the service occurred. If an Eligible Director joins the Board or a Committee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1. </w:t>
      </w:r>
      <w:r>
        <w:rPr>
          <w:rFonts w:ascii="Arial;sans-serif" w:hAnsi="Arial;sans-serif"/>
          <w:b w:val="false"/>
          <w:color w:val="000000"/>
          <w:sz w:val="24"/>
          <w:u w:val="single"/>
        </w:rPr>
        <w:t>Annual Board Service Retainer</w:t>
      </w:r>
      <w:r>
        <w:rPr>
          <w:rFonts w:ascii="Arial;sans-serif" w:hAnsi="Arial;sans-serif"/>
          <w:b w:val="false"/>
          <w:color w:val="000000"/>
          <w:sz w:val="24"/>
        </w:rPr>
        <w:t xml:space="preserve">: </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a. Eligible Directors other than the Lead Independent Director or Non-Executive Chairperson, as applicable: $40,000</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b. Lead Independent Director: $65,000</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c. Non-Executive Chairperson: $75,000</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2. </w:t>
      </w:r>
      <w:r>
        <w:rPr>
          <w:rFonts w:ascii="Arial;sans-serif" w:hAnsi="Arial;sans-serif"/>
          <w:b w:val="false"/>
          <w:color w:val="000000"/>
          <w:sz w:val="24"/>
          <w:u w:val="single"/>
        </w:rPr>
        <w:t>Annual Committee Chair Service Retainer</w:t>
      </w:r>
      <w:r>
        <w:rPr>
          <w:rFonts w:ascii="Arial;sans-serif" w:hAnsi="Arial;sans-serif"/>
          <w:b w:val="false"/>
          <w:color w:val="000000"/>
          <w:sz w:val="24"/>
        </w:rPr>
        <w:t>:</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a. Chairperson of the Audit Committee: $30,000</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b. Chairperson of the Compensation Committee: $15,000</w:t>
      </w:r>
    </w:p>
    <w:p>
      <w:pPr>
        <w:pStyle w:val="TextBody"/>
        <w:spacing w:lineRule="auto" w:line="268" w:before="0" w:after="0"/>
        <w:ind w:left="0" w:right="0" w:firstLine="720"/>
        <w:jc w:val="both"/>
        <w:rPr/>
      </w:pPr>
      <w:r>
        <w:rPr>
          <w:rFonts w:ascii="Arial;sans-serif" w:hAnsi="Arial;sans-serif"/>
          <w:b w:val="false"/>
          <w:color w:val="000000"/>
          <w:sz w:val="24"/>
        </w:rPr>
        <w:t>c. Chairperson of the Nominating &amp; Corporate Governance Committee (“</w:t>
      </w:r>
      <w:r>
        <w:rPr>
          <w:rFonts w:ascii="Arial;sans-serif" w:hAnsi="Arial;sans-serif"/>
          <w:b/>
          <w:i/>
          <w:color w:val="000000"/>
          <w:sz w:val="24"/>
        </w:rPr>
        <w:t>NCGC</w:t>
      </w:r>
      <w:r>
        <w:rPr>
          <w:color w:val="000000"/>
        </w:rPr>
        <w:t>”</w:t>
      </w:r>
      <w:r>
        <w:rPr>
          <w:rFonts w:ascii="Arial;sans-serif" w:hAnsi="Arial;sans-serif"/>
          <w:b w:val="false"/>
          <w:color w:val="000000"/>
          <w:sz w:val="24"/>
        </w:rPr>
        <w:t>): $10,000</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3. </w:t>
      </w:r>
      <w:r>
        <w:rPr>
          <w:rFonts w:ascii="Arial;sans-serif" w:hAnsi="Arial;sans-serif"/>
          <w:b w:val="false"/>
          <w:color w:val="000000"/>
          <w:sz w:val="24"/>
          <w:u w:val="single"/>
        </w:rPr>
        <w:t>Annual Committee Member Service Retainer (excludes Committee Chairs)</w:t>
      </w:r>
      <w:r>
        <w:rPr>
          <w:rFonts w:ascii="Arial;sans-serif" w:hAnsi="Arial;sans-serif"/>
          <w:b w:val="false"/>
          <w:color w:val="000000"/>
          <w:sz w:val="24"/>
        </w:rPr>
        <w:t>:</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a. Member of the Audit Committee: $10,000</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b. Member of the Compensation Committee: $6,000</w:t>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c. Member of the NCGC: $5,000</w:t>
      </w:r>
    </w:p>
    <w:p>
      <w:pPr>
        <w:pStyle w:val="TextBody"/>
        <w:spacing w:before="0" w:after="0"/>
        <w:rPr/>
      </w:pPr>
      <w:r>
        <w:rPr/>
      </w:r>
    </w:p>
    <w:p>
      <w:pPr>
        <w:pStyle w:val="TextBody"/>
        <w:spacing w:lineRule="auto" w:line="268" w:before="0" w:after="0"/>
        <w:jc w:val="both"/>
        <w:rPr>
          <w:rFonts w:ascii="Arial;sans-serif" w:hAnsi="Arial;sans-serif"/>
          <w:b/>
          <w:color w:val="000000"/>
          <w:sz w:val="24"/>
        </w:rPr>
      </w:pPr>
      <w:r>
        <w:rPr>
          <w:rFonts w:ascii="Arial;sans-serif" w:hAnsi="Arial;sans-serif"/>
          <w:b/>
          <w:color w:val="000000"/>
          <w:sz w:val="24"/>
        </w:rPr>
        <w:t>Equity Compensation</w:t>
      </w:r>
    </w:p>
    <w:p>
      <w:pPr>
        <w:pStyle w:val="TextBody"/>
        <w:spacing w:before="0" w:after="0"/>
        <w:rPr/>
      </w:pPr>
      <w:r>
        <w:rPr/>
      </w:r>
    </w:p>
    <w:p>
      <w:pPr>
        <w:pStyle w:val="TextBody"/>
        <w:spacing w:lineRule="auto" w:line="268"/>
        <w:jc w:val="both"/>
        <w:rPr>
          <w:rFonts w:ascii="Arial;sans-serif" w:hAnsi="Arial;sans-serif"/>
          <w:b w:val="false"/>
          <w:color w:val="000000"/>
          <w:sz w:val="24"/>
        </w:rPr>
      </w:pPr>
      <w:r>
        <w:rPr>
          <w:rFonts w:ascii="Arial;sans-serif" w:hAnsi="Arial;sans-serif"/>
          <w:b w:val="false"/>
          <w:color w:val="000000"/>
          <w:sz w:val="24"/>
        </w:rPr>
        <w:t xml:space="preserve">The equity compensation set forth below (including pursuant to an Annual Election, as defined below) will be granted under the Plan and will be documented on the applicable form of equity award agreement most recently approved for use by the Board (or a duly authorized committee thereof) for Eligible Directors. All stock options granted under the Director Compensation Policy will be nonstatutory stock options, with an exercise price per share equal to 100% of the Fair Market Value of the underlying Common Stock on the date of grant, and a term of ten years from the date of grant (subject to earlier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4"/>
        </w:rPr>
      </w:pPr>
      <w:r>
        <w:rPr>
          <w:rFonts w:ascii="Arial;sans-serif" w:hAnsi="Arial;sans-serif"/>
          <w:b w:val="false"/>
          <w:color w:val="000000"/>
          <w:sz w:val="24"/>
        </w:rPr>
        <w:t>termination in connection with a termination of Continuous Service or a Corporate Transaction as provided in the Plan). Upon a termination of Continuous Service other than for death, Disability or Cause, the post-termination exercise period of a stock option will be 12 months from the date of termination.</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1. </w:t>
      </w:r>
      <w:r>
        <w:rPr>
          <w:rFonts w:ascii="Arial;sans-serif" w:hAnsi="Arial;sans-serif"/>
          <w:b w:val="false"/>
          <w:color w:val="000000"/>
          <w:sz w:val="24"/>
          <w:u w:val="single"/>
        </w:rPr>
        <w:t>Initial Option Grant</w:t>
      </w:r>
      <w:r>
        <w:rPr>
          <w:rFonts w:ascii="Arial;sans-serif" w:hAnsi="Arial;sans-serif"/>
          <w:b w:val="false"/>
          <w:color w:val="000000"/>
          <w:sz w:val="24"/>
        </w:rPr>
        <w:t>. On the date of the Eligible Director’s initial election to the Board (or, if such date is not a market trading day, the first market trading day thereafter), the Eligible Director automatically, and without further action by the Board or Compensation Committee of the Board, will be granted a stock option to purchase shares of Common Stock having a Grant Date Value (as defined below) of $400,000 (the “</w:t>
      </w:r>
      <w:r>
        <w:rPr>
          <w:rFonts w:ascii="Arial;sans-serif" w:hAnsi="Arial;sans-serif"/>
          <w:b/>
          <w:i/>
          <w:color w:val="000000"/>
          <w:sz w:val="24"/>
        </w:rPr>
        <w:t>Initial Option Grant</w:t>
      </w:r>
      <w:r>
        <w:rPr>
          <w:color w:val="000000"/>
        </w:rPr>
        <w:t>”</w:t>
      </w:r>
      <w:r>
        <w:rPr>
          <w:rFonts w:ascii="Arial;sans-serif" w:hAnsi="Arial;sans-serif"/>
          <w:b w:val="false"/>
          <w:color w:val="000000"/>
          <w:sz w:val="24"/>
        </w:rPr>
        <w:t>). One-third of the shares underlying the Initial Option Grant will vest after the first year, with the remaining shares vesting quarterly in years two and three following the grant date, such that the Initial Option Grant will be fully vested on the third anniversary of the date of grant, subject to the Eligible Director’s Continuous Service on each applicable vesting date.</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2. </w:t>
      </w:r>
      <w:r>
        <w:rPr>
          <w:rFonts w:ascii="Arial;sans-serif" w:hAnsi="Arial;sans-serif"/>
          <w:b w:val="false"/>
          <w:color w:val="000000"/>
          <w:sz w:val="24"/>
          <w:u w:val="single"/>
        </w:rPr>
        <w:t>Annual Option Grant</w:t>
      </w:r>
      <w:r>
        <w:rPr>
          <w:rFonts w:ascii="Arial;sans-serif" w:hAnsi="Arial;sans-serif"/>
          <w:b w:val="false"/>
          <w:color w:val="000000"/>
          <w:sz w:val="24"/>
        </w:rPr>
        <w:t>. On the date of each NGM annual stockholder meeting (an “</w:t>
      </w:r>
      <w:r>
        <w:rPr>
          <w:rFonts w:ascii="Arial;sans-serif" w:hAnsi="Arial;sans-serif"/>
          <w:b/>
          <w:i/>
          <w:color w:val="000000"/>
          <w:sz w:val="24"/>
        </w:rPr>
        <w:t>Annual Meeting</w:t>
      </w:r>
      <w:r>
        <w:rPr>
          <w:color w:val="000000"/>
        </w:rPr>
        <w:t>”</w:t>
      </w:r>
      <w:r>
        <w:rPr>
          <w:rFonts w:ascii="Arial;sans-serif" w:hAnsi="Arial;sans-serif"/>
          <w:b w:val="false"/>
          <w:color w:val="000000"/>
          <w:sz w:val="24"/>
        </w:rPr>
        <w:t>), each Eligible Director automatically, and without further action by the Board or Compensation Committee of the Board, will be granted a stock option to purchase Common Stock having an Grant Date Value of $200,000 (the “</w:t>
      </w:r>
      <w:r>
        <w:rPr>
          <w:rFonts w:ascii="Arial;sans-serif" w:hAnsi="Arial;sans-serif"/>
          <w:b/>
          <w:i/>
          <w:color w:val="000000"/>
          <w:sz w:val="24"/>
        </w:rPr>
        <w:t>Annual Option Grant</w:t>
      </w:r>
      <w:r>
        <w:rPr>
          <w:color w:val="000000"/>
        </w:rPr>
        <w:t>”</w:t>
      </w:r>
      <w:r>
        <w:rPr>
          <w:rFonts w:ascii="Arial;sans-serif" w:hAnsi="Arial;sans-serif"/>
          <w:b w:val="false"/>
          <w:color w:val="000000"/>
          <w:sz w:val="24"/>
        </w:rPr>
        <w:t xml:space="preserve">). The Annual Option Grant will vest in four approximately equal quarterly tranches, with the final tranche vesting on the earlier of (x) the first anniversary of the date of grant, and (y) the day prior to the next Annual Meeting, subject to the Eligible Director’s Continuous Service on each applicable vesting date. </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3. </w:t>
      </w:r>
      <w:r>
        <w:rPr>
          <w:rFonts w:ascii="Arial;sans-serif" w:hAnsi="Arial;sans-serif"/>
          <w:b w:val="false"/>
          <w:color w:val="000000"/>
          <w:sz w:val="24"/>
          <w:u w:val="single"/>
        </w:rPr>
        <w:t>Calculation of Grant Date Value</w:t>
      </w:r>
      <w:r>
        <w:rPr>
          <w:rFonts w:ascii="Arial;sans-serif" w:hAnsi="Arial;sans-serif"/>
          <w:b w:val="false"/>
          <w:color w:val="000000"/>
          <w:sz w:val="24"/>
        </w:rPr>
        <w:t>. The “</w:t>
      </w:r>
      <w:r>
        <w:rPr>
          <w:rFonts w:ascii="Arial;sans-serif" w:hAnsi="Arial;sans-serif"/>
          <w:b/>
          <w:i/>
          <w:color w:val="000000"/>
          <w:sz w:val="24"/>
        </w:rPr>
        <w:t>Grant Date Value</w:t>
      </w:r>
      <w:r>
        <w:rPr>
          <w:color w:val="000000"/>
        </w:rPr>
        <w:t xml:space="preserve">” </w:t>
      </w:r>
      <w:r>
        <w:rPr>
          <w:rFonts w:ascii="Arial;sans-serif" w:hAnsi="Arial;sans-serif"/>
          <w:b w:val="false"/>
          <w:color w:val="000000"/>
          <w:sz w:val="24"/>
        </w:rPr>
        <w:t>of an equity award granted under this Director Compensation Policy will be determined using the same method the Company uses to calculate the grant date fair value of stock-based compensation for its financial statements (e.g., applying a Black-Scholes option pricing model in the case of stock options).</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4. </w:t>
      </w:r>
      <w:r>
        <w:rPr>
          <w:rFonts w:ascii="Arial;sans-serif" w:hAnsi="Arial;sans-serif"/>
          <w:b w:val="false"/>
          <w:color w:val="000000"/>
          <w:sz w:val="24"/>
          <w:u w:val="single"/>
        </w:rPr>
        <w:t>Treatment on a Change in Control</w:t>
      </w:r>
      <w:r>
        <w:rPr>
          <w:rFonts w:ascii="Arial;sans-serif" w:hAnsi="Arial;sans-serif"/>
          <w:b w:val="false"/>
          <w:color w:val="000000"/>
          <w:sz w:val="24"/>
        </w:rPr>
        <w:t>. In the event of a Change in Control, any then-unvested equity award will fully vest (and become exercisable, in the case of an option) as of immediately prior to the effective time of such transaction, subject to the Eligible Director’s Continuous Service on the effective date of such transaction. For clarity, such accelerated vesting will not accelerate the settlement of any equity award subject to a deferral election in accordance with Section 409A of the Internal Revenue Code.</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5. </w:t>
      </w:r>
      <w:r>
        <w:rPr>
          <w:rFonts w:ascii="Arial;sans-serif" w:hAnsi="Arial;sans-serif"/>
          <w:b w:val="false"/>
          <w:color w:val="000000"/>
          <w:sz w:val="24"/>
          <w:u w:val="single"/>
        </w:rPr>
        <w:t>Capitalization Adjustments</w:t>
      </w:r>
      <w:r>
        <w:rPr>
          <w:rFonts w:ascii="Arial;sans-serif" w:hAnsi="Arial;sans-serif"/>
          <w:b w:val="false"/>
          <w:color w:val="000000"/>
          <w:sz w:val="24"/>
        </w:rPr>
        <w:t xml:space="preserve">. In the event of a Capitalization Adjustment, the Board shall appropriately and proportionately adjust the number of shares underlying any Initial Option Grant and Annual Option Grant made after the date of such Capitalization Adjustment.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color w:val="000000"/>
          <w:sz w:val="24"/>
        </w:rPr>
      </w:pPr>
      <w:r>
        <w:rPr>
          <w:rFonts w:ascii="Arial;sans-serif" w:hAnsi="Arial;sans-serif"/>
          <w:b/>
          <w:color w:val="000000"/>
          <w:sz w:val="24"/>
        </w:rPr>
        <w:t>Election to Receive Annual Cash Compensation in the Form of Stock Options</w:t>
      </w:r>
    </w:p>
    <w:p>
      <w:pPr>
        <w:pStyle w:val="TextBody"/>
        <w:spacing w:before="0" w:after="0"/>
        <w:rPr/>
      </w:pPr>
      <w:r>
        <w:rPr/>
      </w:r>
    </w:p>
    <w:p>
      <w:pPr>
        <w:pStyle w:val="TextBody"/>
        <w:spacing w:lineRule="auto" w:line="268" w:before="0" w:after="0"/>
        <w:ind w:left="0" w:right="0" w:firstLine="720"/>
        <w:jc w:val="both"/>
        <w:rPr/>
      </w:pPr>
      <w:r>
        <w:rPr>
          <w:rFonts w:ascii="Arial;sans-serif" w:hAnsi="Arial;sans-serif"/>
          <w:b w:val="false"/>
          <w:color w:val="000000"/>
          <w:sz w:val="24"/>
        </w:rPr>
        <w:t>Each Eligible Director may elect in writing (an “</w:t>
      </w:r>
      <w:r>
        <w:rPr>
          <w:rFonts w:ascii="Arial;sans-serif" w:hAnsi="Arial;sans-serif"/>
          <w:b/>
          <w:i/>
          <w:color w:val="000000"/>
          <w:sz w:val="24"/>
        </w:rPr>
        <w:t>Annual Election</w:t>
      </w:r>
      <w:r>
        <w:rPr>
          <w:color w:val="000000"/>
        </w:rPr>
        <w:t>”</w:t>
      </w:r>
      <w:r>
        <w:rPr>
          <w:rFonts w:ascii="Arial;sans-serif" w:hAnsi="Arial;sans-serif"/>
          <w:b w:val="false"/>
          <w:color w:val="000000"/>
          <w:sz w:val="24"/>
        </w:rPr>
        <w:t>) to receive his or her annual cash compensation in the form of a stock option (an “</w:t>
      </w:r>
      <w:r>
        <w:rPr>
          <w:rFonts w:ascii="Arial;sans-serif" w:hAnsi="Arial;sans-serif"/>
          <w:b/>
          <w:i/>
          <w:color w:val="000000"/>
          <w:sz w:val="24"/>
        </w:rPr>
        <w:t>Annual Election Option</w:t>
      </w:r>
      <w:r>
        <w:rPr>
          <w:color w:val="000000"/>
        </w:rPr>
        <w:t>”</w:t>
      </w:r>
      <w:r>
        <w:rPr>
          <w:rFonts w:ascii="Arial;sans-serif" w:hAnsi="Arial;sans-serif"/>
          <w:b w:val="false"/>
          <w:color w:val="000000"/>
          <w:sz w:val="24"/>
        </w:rPr>
        <w:t>). Such Annual Election would apply to all annual cash compensation payable during the subsequent year of service, measured from the date of the Annual Meeting.</w:t>
      </w:r>
    </w:p>
    <w:p>
      <w:pPr>
        <w:pStyle w:val="TextBody"/>
        <w:spacing w:before="0" w:after="0"/>
        <w:rPr/>
      </w:pPr>
      <w:r>
        <w:rPr/>
      </w:r>
    </w:p>
    <w:p>
      <w:pPr>
        <w:pStyle w:val="TextBody"/>
        <w:spacing w:lineRule="auto" w:line="268" w:before="0" w:after="0"/>
        <w:ind w:left="0" w:right="0" w:firstLine="720"/>
        <w:jc w:val="both"/>
        <w:rPr/>
      </w:pPr>
      <w:r>
        <w:rPr>
          <w:rFonts w:ascii="Arial;sans-serif" w:hAnsi="Arial;sans-serif"/>
          <w:b w:val="false"/>
          <w:color w:val="000000"/>
          <w:sz w:val="24"/>
        </w:rPr>
        <w:t>Except as provided below, any Annual Election must be submitted in January of each calendar year, or in the case of an individual who first becomes an Eligible Director in any calendar year, within 30 days following the date on which he or she first becomes an Eligible Director (and no later than 30 days prior to the date of the Annual Meeting). An Annual Election will be irrevocable once submitted. All Annual Elections must also be submitted during an “open window period” in accordance with the Company’s then-effective Insider Trading and Trading Window Policy (or any other policy on trading in Company securities), and when the Eligible Director submitting the Annual Election is not otherwise aware of any material, nonpublic information with respect to the Company or any of its securities (collectively, an “</w:t>
      </w:r>
      <w:r>
        <w:rPr>
          <w:rFonts w:ascii="Arial;sans-serif" w:hAnsi="Arial;sans-serif"/>
          <w:b/>
          <w:i/>
          <w:color w:val="000000"/>
          <w:sz w:val="24"/>
        </w:rPr>
        <w:t>Open Window</w:t>
      </w:r>
      <w:r>
        <w:rPr>
          <w:color w:val="000000"/>
        </w:rPr>
        <w:t>”</w:t>
      </w:r>
      <w:r>
        <w:rPr>
          <w:rFonts w:ascii="Arial;sans-serif" w:hAnsi="Arial;sans-serif"/>
          <w:b w:val="false"/>
          <w:color w:val="000000"/>
          <w:sz w:val="24"/>
        </w:rPr>
        <w:t>). If there were no Open Windows within the applicable timeframe above during which an Annual Election could be submitted, then the Annual Election for that calendar year will be due no later than the tenth business day following the commencement of the next Open Window.</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An Annual Election Grant will be granted on the date of the next Annual Meeting, with a Grant Date Value equal to the aggregate amount of cash retainers that such Eligible Director would otherwise have been eligible to receive over the four fiscal quarters following such Annual Meeting, and will vest in quarterly tranches, with the final tranche vesting on the earlier of (x) the first anniversary of the date of grant, and (y) the day prior to the next Annual Meeting. </w:t>
      </w:r>
    </w:p>
    <w:p>
      <w:pPr>
        <w:pStyle w:val="TextBody"/>
        <w:spacing w:before="0" w:after="0"/>
        <w:rPr/>
      </w:pPr>
      <w:r>
        <w:rPr/>
      </w:r>
    </w:p>
    <w:p>
      <w:pPr>
        <w:pStyle w:val="TextBody"/>
        <w:spacing w:lineRule="auto" w:line="268" w:before="0" w:after="0"/>
        <w:jc w:val="both"/>
        <w:rPr>
          <w:rFonts w:ascii="Arial;sans-serif" w:hAnsi="Arial;sans-serif"/>
          <w:b/>
          <w:color w:val="000000"/>
          <w:sz w:val="24"/>
        </w:rPr>
      </w:pPr>
      <w:r>
        <w:rPr>
          <w:rFonts w:ascii="Arial;sans-serif" w:hAnsi="Arial;sans-serif"/>
          <w:b/>
          <w:color w:val="000000"/>
          <w:sz w:val="24"/>
        </w:rPr>
        <w:t>Expenses</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4"/>
        </w:rPr>
        <w:t xml:space="preserve">The Company will reimburse Eligible Directors for ordinary, necessary and reasonable out-of-pocket travel expenses to cover in-person attendance at and participation in Board and/or Committee meetings; </w:t>
      </w:r>
      <w:r>
        <w:rPr>
          <w:rFonts w:ascii="Arial;sans-serif" w:hAnsi="Arial;sans-serif"/>
          <w:b w:val="false"/>
          <w:i/>
          <w:color w:val="000000"/>
          <w:sz w:val="24"/>
        </w:rPr>
        <w:t>provided</w:t>
      </w:r>
      <w:r>
        <w:rPr>
          <w:rFonts w:ascii="Arial;sans-serif" w:hAnsi="Arial;sans-serif"/>
          <w:b w:val="false"/>
          <w:color w:val="000000"/>
          <w:sz w:val="24"/>
        </w:rPr>
        <w:t>, that Eligible Directors timely submit to the Company appropriate documentation substantiating such expenses in accordance with the Company’s travel and expense policy, as in effect from time to time.</w:t>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CERTIFICATION BY THE CHIEF EXECUTIVE OFFICER PURSUANT TO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SECTION 302 OF THE SARBANES-OXLEY ACT OF 2002 </w:t>
      </w:r>
    </w:p>
    <w:p>
      <w:pPr>
        <w:pStyle w:val="TextBody"/>
        <w:spacing w:before="0" w:after="0"/>
        <w:rPr/>
      </w:pPr>
      <w:r>
        <w:rPr/>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David J. Woodhouse, certify that:</w:t>
      </w:r>
    </w:p>
    <w:p>
      <w:pPr>
        <w:pStyle w:val="TextBody"/>
        <w:spacing w:lineRule="auto" w:line="288" w:before="240" w:after="12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NGM Biopharmaceuticals, Inc.;</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jc w:val="both"/>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w:t>
      </w:r>
      <w:r>
        <w:rPr>
          <w:color w:val="000000"/>
        </w:rPr>
        <w:t xml:space="preserve"> </w:t>
      </w:r>
      <w:r>
        <w:rPr>
          <w:rFonts w:ascii="Arial;sans-serif" w:hAnsi="Arial;sans-serif"/>
          <w:b w:val="false"/>
          <w:color w:val="000000"/>
          <w:sz w:val="20"/>
        </w:rPr>
        <w:t>for the registrant and have:</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jc w:val="both"/>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r>
        <w:rPr>
          <w:rFonts w:ascii="Arial;sans-serif" w:hAnsi="Arial;sans-serif"/>
          <w:b w:val="false"/>
          <w:color w:val="000000"/>
          <w:sz w:val="18"/>
        </w:rPr>
        <w:t>.</w:t>
      </w:r>
    </w:p>
    <w:tbl>
      <w:tblPr>
        <w:tblW w:w="5413" w:type="dxa"/>
        <w:jc w:val="center"/>
        <w:tblInd w:w="0" w:type="dxa"/>
        <w:tblCellMar>
          <w:top w:w="28" w:type="dxa"/>
          <w:left w:w="28" w:type="dxa"/>
          <w:bottom w:w="28" w:type="dxa"/>
          <w:right w:w="28" w:type="dxa"/>
        </w:tblCellMar>
      </w:tblPr>
      <w:tblGrid>
        <w:gridCol w:w="624"/>
        <w:gridCol w:w="547"/>
        <w:gridCol w:w="553"/>
        <w:gridCol w:w="134"/>
        <w:gridCol w:w="134"/>
        <w:gridCol w:w="136"/>
        <w:gridCol w:w="962"/>
        <w:gridCol w:w="962"/>
        <w:gridCol w:w="1361"/>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CERTIFICATION BY THE CHIEF FINANCIAL OFFICER PURSUANT TO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SECTION 302 OF THE SARBANES-OXLEY ACT OF 2002 </w:t>
      </w:r>
    </w:p>
    <w:p>
      <w:pPr>
        <w:pStyle w:val="TextBody"/>
        <w:spacing w:before="0" w:after="0"/>
        <w:rPr/>
      </w:pPr>
      <w:r>
        <w:rPr/>
      </w:r>
    </w:p>
    <w:p>
      <w:pPr>
        <w:pStyle w:val="TextBody"/>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Siobhan Nolan Mangini, certify that:</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NGM Biopharmaceuticals, Inc.;</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jc w:val="both"/>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r>
        <w:rPr>
          <w:rFonts w:ascii="Arial;sans-serif" w:hAnsi="Arial;sans-serif"/>
          <w:b w:val="false"/>
          <w:color w:val="000000"/>
          <w:sz w:val="18"/>
        </w:rPr>
        <w:t>.</w:t>
      </w:r>
    </w:p>
    <w:tbl>
      <w:tblPr>
        <w:tblW w:w="5473" w:type="dxa"/>
        <w:jc w:val="center"/>
        <w:tblInd w:w="0" w:type="dxa"/>
        <w:tblCellMar>
          <w:top w:w="28" w:type="dxa"/>
          <w:left w:w="28" w:type="dxa"/>
          <w:bottom w:w="28" w:type="dxa"/>
          <w:right w:w="28" w:type="dxa"/>
        </w:tblCellMar>
      </w:tblPr>
      <w:tblGrid>
        <w:gridCol w:w="624"/>
        <w:gridCol w:w="547"/>
        <w:gridCol w:w="553"/>
        <w:gridCol w:w="134"/>
        <w:gridCol w:w="134"/>
        <w:gridCol w:w="136"/>
        <w:gridCol w:w="980"/>
        <w:gridCol w:w="980"/>
        <w:gridCol w:w="1385"/>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4,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rPr/>
      </w:pPr>
      <w:r>
        <w:rPr/>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 1350), David Woodhouse, Chief Executive Officer and Director of NGM Biopharmaceuticals, Inc. (the “Company”), and Siobhan Nolan Mangini, President and Chief Financial Officer of the Company, each hereby certifies that, to the best of his or her knowledge:</w:t>
      </w:r>
    </w:p>
    <w:p>
      <w:pPr>
        <w:pStyle w:val="TextBody"/>
        <w:spacing w:lineRule="auto" w:line="288" w:before="240" w:after="283"/>
        <w:ind w:left="0" w:right="0" w:hanging="540"/>
        <w:jc w:val="both"/>
        <w:rPr>
          <w:rFonts w:ascii="Arial;sans-serif" w:hAnsi="Arial;sans-serif"/>
          <w:b w:val="false"/>
          <w:color w:val="000000"/>
          <w:sz w:val="20"/>
        </w:rPr>
      </w:pPr>
      <w:r>
        <w:rPr>
          <w:rFonts w:ascii="Arial;sans-serif" w:hAnsi="Arial;sans-serif"/>
          <w:b w:val="false"/>
          <w:color w:val="000000"/>
          <w:sz w:val="20"/>
        </w:rPr>
        <w:t>1.The Company’s Quarterly Report on Form 10-Q for the period ended March 31, 2023, to which this Certification is attached as Exhibit 32.1 (the “Quarterly Report”), fully complies with the requirements of Section 13(a) or Section 15(d) of the Exchange Act; and</w:t>
      </w:r>
    </w:p>
    <w:p>
      <w:pPr>
        <w:pStyle w:val="TextBody"/>
        <w:spacing w:lineRule="auto" w:line="288" w:before="240" w:after="283"/>
        <w:ind w:left="0" w:right="0" w:hanging="540"/>
        <w:jc w:val="both"/>
        <w:rPr>
          <w:rFonts w:ascii="Arial;sans-serif" w:hAnsi="Arial;sans-serif"/>
          <w:b w:val="false"/>
          <w:color w:val="000000"/>
          <w:sz w:val="20"/>
        </w:rPr>
      </w:pPr>
      <w:r>
        <w:rPr>
          <w:rFonts w:ascii="Arial;sans-serif" w:hAnsi="Arial;sans-serif"/>
          <w:b w:val="false"/>
          <w:color w:val="000000"/>
          <w:sz w:val="20"/>
        </w:rPr>
        <w:t>2.The information contained in the Quarterly Report fairly presents, in all material respects, the financial condition and results of operations of the Company.</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Dated: May 4, 2023 </w:t>
      </w:r>
    </w:p>
    <w:p>
      <w:pPr>
        <w:pStyle w:val="TextBody"/>
        <w:spacing w:before="0" w:after="0"/>
        <w:rPr/>
      </w:pPr>
      <w:r>
        <w:rPr/>
      </w:r>
    </w:p>
    <w:p>
      <w:pPr>
        <w:pStyle w:val="TextBody"/>
        <w:spacing w:lineRule="auto" w:line="288" w:before="0" w:after="0"/>
        <w:rPr/>
      </w:pPr>
      <w:r>
        <w:rPr>
          <w:rFonts w:ascii="Arial;sans-serif" w:hAnsi="Arial;sans-serif"/>
          <w:b/>
          <w:color w:val="000000"/>
          <w:sz w:val="20"/>
        </w:rPr>
        <w:t>I</w:t>
      </w:r>
      <w:r>
        <w:rPr>
          <w:rFonts w:ascii="Arial;sans-serif" w:hAnsi="Arial;sans-serif"/>
          <w:b/>
          <w:color w:val="000000"/>
          <w:sz w:val="16"/>
        </w:rPr>
        <w:t>N</w:t>
      </w:r>
      <w:r>
        <w:rPr>
          <w:color w:val="000000"/>
        </w:rPr>
        <w:t xml:space="preserve"> </w:t>
      </w:r>
      <w:r>
        <w:rPr>
          <w:rFonts w:ascii="Arial;sans-serif" w:hAnsi="Arial;sans-serif"/>
          <w:b/>
          <w:color w:val="000000"/>
          <w:sz w:val="20"/>
        </w:rPr>
        <w:t>W</w:t>
      </w:r>
      <w:r>
        <w:rPr>
          <w:rFonts w:ascii="Arial;sans-serif" w:hAnsi="Arial;sans-serif"/>
          <w:b/>
          <w:color w:val="000000"/>
          <w:sz w:val="16"/>
        </w:rPr>
        <w:t>ITNESS</w:t>
      </w:r>
      <w:r>
        <w:rPr>
          <w:color w:val="000000"/>
        </w:rPr>
        <w:t xml:space="preserve"> </w:t>
      </w:r>
      <w:r>
        <w:rPr>
          <w:rFonts w:ascii="Arial;sans-serif" w:hAnsi="Arial;sans-serif"/>
          <w:b/>
          <w:color w:val="000000"/>
          <w:sz w:val="20"/>
        </w:rPr>
        <w:t>W</w:t>
      </w:r>
      <w:r>
        <w:rPr>
          <w:rFonts w:ascii="Arial;sans-serif" w:hAnsi="Arial;sans-serif"/>
          <w:b/>
          <w:color w:val="000000"/>
          <w:sz w:val="16"/>
        </w:rPr>
        <w:t>HEREOF</w:t>
      </w:r>
      <w:r>
        <w:rPr>
          <w:rFonts w:ascii="Arial;sans-serif" w:hAnsi="Arial;sans-serif"/>
          <w:b w:val="false"/>
          <w:color w:val="000000"/>
          <w:sz w:val="20"/>
        </w:rPr>
        <w:t>, the undersigned have set their hands hereto as of the 4</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May, 2023.</w:t>
      </w:r>
    </w:p>
    <w:tbl>
      <w:tblPr>
        <w:tblW w:w="6927" w:type="dxa"/>
        <w:jc w:val="left"/>
        <w:tblInd w:w="0" w:type="dxa"/>
        <w:tblCellMar>
          <w:top w:w="28" w:type="dxa"/>
          <w:left w:w="28" w:type="dxa"/>
          <w:bottom w:w="28" w:type="dxa"/>
          <w:right w:w="28" w:type="dxa"/>
        </w:tblCellMar>
      </w:tblPr>
      <w:tblGrid>
        <w:gridCol w:w="1179"/>
        <w:gridCol w:w="1035"/>
        <w:gridCol w:w="1041"/>
        <w:gridCol w:w="109"/>
        <w:gridCol w:w="109"/>
        <w:gridCol w:w="109"/>
        <w:gridCol w:w="980"/>
        <w:gridCol w:w="980"/>
        <w:gridCol w:w="1385"/>
      </w:tblGrid>
      <w:tr>
        <w:trPr/>
        <w:tc>
          <w:tcPr>
            <w:tcW w:w="1179"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3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spacing w:before="240" w:after="283"/>
        <w:rPr/>
      </w:pPr>
      <w:r>
        <w:rPr/>
      </w:r>
    </w:p>
    <w:p>
      <w:pPr>
        <w:pStyle w:val="TextBody"/>
        <w:spacing w:before="240" w:after="283"/>
        <w:jc w:val="both"/>
        <w:rPr/>
      </w:pPr>
      <w:r>
        <w:rPr/>
      </w:r>
    </w:p>
    <w:p>
      <w:pPr>
        <w:pStyle w:val="TextBody"/>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This certification accompanies the Quarterly Report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Quarterly Report), irrespective of any general incorporation language contained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26332/000119312519100757/d731361dex31.htm" TargetMode="External"/><Relationship Id="rId3" Type="http://schemas.openxmlformats.org/officeDocument/2006/relationships/hyperlink" Target="https://www.sec.gov/Archives/edgar/data/0001426332/000119312518287727/d693178dex3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57561</Words>
  <CharactersWithSpaces>378569</CharactersWithSpaces>
  <Paragraphs>1951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