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3"/>
            <w:vMerge w:val="restart"/>
          </w:tcPr>
          <w:p>
            <w:pPr>
              <w:ind w:left="20"/>
              <w:spacing w:after="0"/>
              <w:rPr>
                <w:rFonts w:ascii="Arial" w:cs="Arial" w:eastAsia="Arial" w:hAnsi="Arial"/>
                <w:sz w:val="21"/>
                <w:szCs w:val="21"/>
                <w:u w:val="single" w:color="auto"/>
                <w:color w:val="0000EE"/>
                <w:w w:val="99"/>
              </w:rPr>
            </w:pPr>
            <w:hyperlink r:id="rId13">
              <w:r>
                <w:rPr>
                  <w:rFonts w:ascii="Arial" w:cs="Arial" w:eastAsia="Arial" w:hAnsi="Arial"/>
                  <w:sz w:val="21"/>
                  <w:szCs w:val="21"/>
                  <w:u w:val="single" w:color="auto"/>
                  <w:color w:val="0000EE"/>
                  <w:w w:val="99"/>
                </w:rPr>
                <w:t>Guyer Shelly D</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8"/>
          </w:tcPr>
          <w:p>
            <w:pPr>
              <w:ind w:left="8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NGM BIOPHARMACEUTICALS INC</w:t>
              </w:r>
              <w:r>
                <w:rPr>
                  <w:rFonts w:ascii="Arial" w:cs="Arial" w:eastAsia="Arial" w:hAnsi="Arial"/>
                  <w:sz w:val="11"/>
                  <w:szCs w:val="11"/>
                  <w:color w:val="0000EE"/>
                </w:rPr>
                <w:t xml:space="preserve"> </w:t>
              </w:r>
            </w:hyperlink>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restart"/>
          </w:tcPr>
          <w:p>
            <w:pPr>
              <w:ind w:left="80"/>
              <w:spacing w:after="0" w:line="155" w:lineRule="exact"/>
              <w:rPr>
                <w:sz w:val="20"/>
                <w:szCs w:val="20"/>
                <w:color w:val="auto"/>
              </w:rPr>
            </w:pPr>
            <w:r>
              <w:rPr>
                <w:rFonts w:ascii="Arial" w:cs="Arial" w:eastAsia="Arial" w:hAnsi="Arial"/>
                <w:sz w:val="14"/>
                <w:szCs w:val="14"/>
                <w:color w:val="0000FF"/>
              </w:rPr>
              <w:t xml:space="preserve">NGM </w:t>
            </w:r>
            <w:r>
              <w:rPr>
                <w:rFonts w:ascii="Arial" w:cs="Arial" w:eastAsia="Arial" w:hAnsi="Arial"/>
                <w:sz w:val="17"/>
                <w:szCs w:val="17"/>
                <w:color w:val="000000"/>
              </w:rPr>
              <w: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gridSpan w:val="3"/>
            <w:vMerge w:val="restart"/>
          </w:tcPr>
          <w:p>
            <w:pPr>
              <w:ind w:left="260"/>
              <w:spacing w:after="0" w:line="155" w:lineRule="exact"/>
              <w:rPr>
                <w:sz w:val="20"/>
                <w:szCs w:val="20"/>
                <w:color w:val="auto"/>
              </w:rPr>
            </w:pPr>
            <w:r>
              <w:rPr>
                <w:rFonts w:ascii="Arial" w:cs="Arial" w:eastAsia="Arial" w:hAnsi="Arial"/>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8"/>
                <w:szCs w:val="8"/>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ind w:left="140"/>
              <w:spacing w:after="0" w:line="97" w:lineRule="exact"/>
              <w:rPr>
                <w:sz w:val="20"/>
                <w:szCs w:val="20"/>
                <w:color w:val="auto"/>
              </w:rPr>
            </w:pPr>
            <w:r>
              <w:rPr>
                <w:rFonts w:ascii="Arial" w:cs="Arial" w:eastAsia="Arial" w:hAnsi="Arial"/>
                <w:sz w:val="11"/>
                <w:szCs w:val="11"/>
                <w:color w:val="auto"/>
              </w:rPr>
              <w:t>below)</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ind w:left="220"/>
              <w:spacing w:after="0" w:line="97" w:lineRule="exact"/>
              <w:rPr>
                <w:sz w:val="20"/>
                <w:szCs w:val="20"/>
                <w:color w:val="auto"/>
              </w:rPr>
            </w:pPr>
            <w:r>
              <w:rPr>
                <w:rFonts w:ascii="Arial" w:cs="Arial" w:eastAsia="Arial" w:hAnsi="Arial"/>
                <w:sz w:val="11"/>
                <w:szCs w:val="11"/>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7"/>
                <w:szCs w:val="17"/>
                <w:color w:val="0000FF"/>
                <w:w w:val="89"/>
              </w:rPr>
              <w:t>1400 16TH STREET</w:t>
            </w: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gridSpan w:val="4"/>
          </w:tcPr>
          <w:p>
            <w:pPr>
              <w:ind w:left="260"/>
              <w:spacing w:after="0"/>
              <w:rPr>
                <w:sz w:val="20"/>
                <w:szCs w:val="20"/>
                <w:color w:val="auto"/>
              </w:rPr>
            </w:pPr>
            <w:r>
              <w:rPr>
                <w:rFonts w:ascii="Arial" w:cs="Arial" w:eastAsia="Arial" w:hAnsi="Arial"/>
                <w:sz w:val="17"/>
                <w:szCs w:val="17"/>
                <w:color w:val="0000FF"/>
              </w:rPr>
              <w:t>05/20/2020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Borders>
              <w:bottom w:val="single" w:sz="8" w:color="2C2C2C"/>
            </w:tcBorders>
            <w:gridSpan w:val="4"/>
          </w:tcPr>
          <w:p>
            <w:pPr>
              <w:spacing w:after="0"/>
              <w:rPr>
                <w:sz w:val="12"/>
                <w:szCs w:val="12"/>
                <w:color w:val="auto"/>
              </w:rPr>
            </w:pPr>
          </w:p>
        </w:tc>
        <w:tc>
          <w:tcPr>
            <w:tcW w:w="2020" w:type="dxa"/>
            <w:vAlign w:val="bottom"/>
            <w:tcBorders>
              <w:bottom w:val="single" w:sz="8" w:color="2C2C2C"/>
            </w:tcBorders>
            <w:gridSpan w:val="4"/>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980" w:type="dxa"/>
            <w:vAlign w:val="bottom"/>
            <w:tcBorders>
              <w:bottom w:val="single" w:sz="8" w:color="2C2C2C"/>
            </w:tcBorders>
            <w:gridSpan w:val="7"/>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gridSpan w:val="8"/>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6"/>
                <w:szCs w:val="16"/>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SAN</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spacing w:after="0"/>
              <w:rPr>
                <w:sz w:val="20"/>
                <w:szCs w:val="20"/>
                <w:color w:val="auto"/>
              </w:rPr>
            </w:pPr>
            <w:r>
              <w:rPr>
                <w:rFonts w:ascii="Arial" w:cs="Arial" w:eastAsia="Arial" w:hAnsi="Arial"/>
                <w:sz w:val="17"/>
                <w:szCs w:val="17"/>
                <w:color w:val="0000FF"/>
              </w:rPr>
              <w:t>94103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0" w:type="dxa"/>
            <w:vAlign w:val="bottom"/>
            <w:gridSpan w:val="11"/>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7"/>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4"/>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80" w:type="dxa"/>
            <w:vAlign w:val="bottom"/>
            <w:tcBorders>
              <w:bottom w:val="single" w:sz="8" w:color="2C2C2C"/>
            </w:tcBorders>
            <w:gridSpan w:val="8"/>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3"/>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7"/>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4"/>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5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20.37</w:t>
            </w:r>
          </w:p>
        </w:tc>
        <w:tc>
          <w:tcPr>
            <w:tcW w:w="20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Arial" w:cs="Arial" w:eastAsia="Arial" w:hAnsi="Arial"/>
                <w:sz w:val="13"/>
                <w:szCs w:val="13"/>
                <w:color w:val="0000FF"/>
              </w:rPr>
              <w:t>05/20/2020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16,806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05/19/2030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16,806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16,806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60" w:firstLine="2"/>
        <w:spacing w:after="0" w:line="310"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stock option shall vest in four (4) approximately equal quarterly installments, such that the option shall be fully vested on the earlier of (i) the one-year anniversary of the date of grant and (ii) the day prior to the next Issuer's annual stockholder meeting, subject to the Reporting Person's Continuous Service (as defined in the Amended and Restated 2018 Equity Incentive Plan) on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William J. Rieflin, Attorney- </w:t>
      </w:r>
      <w:r>
        <w:rPr>
          <w:rFonts w:ascii="Arial" w:cs="Arial" w:eastAsia="Arial" w:hAnsi="Arial"/>
          <w:sz w:val="33"/>
          <w:szCs w:val="33"/>
          <w:color w:val="0000FF"/>
          <w:vertAlign w:val="subscript"/>
        </w:rPr>
        <w:t>05/22/2020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8984"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2020-05-22T17:37:52Z</dcterms:created>
  <dcterms:modified xsi:type="dcterms:W3CDTF">2020-05-22T17:37:52Z</dcterms:modified>
</cp:coreProperties>
</file>