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5, 2024</w:t>
      </w:r>
    </w:p>
    <w:p>
      <w:pPr>
        <w:spacing w:after="0" w:line="7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333-230725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333-237243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333-254295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333-263155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333-270121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74295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333-230725</w:t>
      </w:r>
    </w:p>
    <w:p>
      <w:pPr>
        <w:spacing w:after="0" w:line="44"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333-237243</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333-254295</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333-263155</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Post-Effective Amendment No. 1 to Form S-8 No. 333-270121</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NGM BIOPHARMACEUTICALS,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40" w:type="dxa"/>
        <w:tblCellMar>
          <w:top w:w="0" w:type="dxa"/>
          <w:left w:w="0" w:type="dxa"/>
          <w:bottom w:w="0" w:type="dxa"/>
          <w:right w:w="0" w:type="dxa"/>
        </w:tblCellMar>
      </w:tblPr>
      <w:tr>
        <w:trPr>
          <w:trHeight w:val="214"/>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0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26-1679911</w:t>
            </w:r>
          </w:p>
        </w:tc>
      </w:tr>
      <w:tr>
        <w:trPr>
          <w:trHeight w:val="149"/>
        </w:trPr>
        <w:tc>
          <w:tcPr>
            <w:tcW w:w="436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0" w:type="dxa"/>
            <w:vAlign w:val="bottom"/>
          </w:tcPr>
          <w:p>
            <w:pPr>
              <w:jc w:val="center"/>
              <w:ind w:left="18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333 Oyster Point Boulevard</w:t>
            </w:r>
          </w:p>
        </w:tc>
        <w:tc>
          <w:tcPr>
            <w:tcW w:w="3000" w:type="dxa"/>
            <w:vAlign w:val="bottom"/>
          </w:tcPr>
          <w:p>
            <w:pPr>
              <w:spacing w:after="0"/>
              <w:rPr>
                <w:sz w:val="24"/>
                <w:szCs w:val="24"/>
                <w:color w:val="auto"/>
              </w:rPr>
            </w:pPr>
          </w:p>
        </w:tc>
      </w:tr>
      <w:tr>
        <w:trPr>
          <w:trHeight w:val="227"/>
        </w:trPr>
        <w:tc>
          <w:tcPr>
            <w:tcW w:w="4360" w:type="dxa"/>
            <w:vAlign w:val="bottom"/>
          </w:tcPr>
          <w:p>
            <w:pPr>
              <w:jc w:val="center"/>
              <w:ind w:right="1799"/>
              <w:spacing w:after="0"/>
              <w:rPr>
                <w:sz w:val="20"/>
                <w:szCs w:val="20"/>
                <w:color w:val="auto"/>
              </w:rPr>
            </w:pPr>
            <w:r>
              <w:rPr>
                <w:rFonts w:ascii="Times New Roman" w:cs="Times New Roman" w:eastAsia="Times New Roman" w:hAnsi="Times New Roman"/>
                <w:sz w:val="18"/>
                <w:szCs w:val="18"/>
                <w:b w:val="1"/>
                <w:bCs w:val="1"/>
                <w:color w:val="auto"/>
                <w:w w:val="99"/>
              </w:rPr>
              <w:t>South San Francisco, CA</w:t>
            </w:r>
          </w:p>
        </w:tc>
        <w:tc>
          <w:tcPr>
            <w:tcW w:w="30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90"/>
        </w:trPr>
        <w:tc>
          <w:tcPr>
            <w:tcW w:w="4360" w:type="dxa"/>
            <w:vAlign w:val="bottom"/>
          </w:tcPr>
          <w:p>
            <w:pPr>
              <w:jc w:val="center"/>
              <w:ind w:right="18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0" w:type="dxa"/>
            <w:vAlign w:val="bottom"/>
          </w:tcPr>
          <w:p>
            <w:pPr>
              <w:jc w:val="center"/>
              <w:ind w:left="18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NGM Biopharmaceuticals, Inc. 2008 Equity Incentive Plan NGM Biopharmaceuticals, Inc. Amended and Restated 2018 Equity Incentive Plan NGM Biopharmaceuticals, Inc. 2019 Employee Stock Purchase Plan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J. Woodhouse, Ph.D.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 Oyster Point Boulevard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San Francisco, CA 94080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 243-5555</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188595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NGM Biopharmaceuticals, Inc., a Delaware corporation (the “Registrant”), is filing these Post-Effective Amendments (these “Post-Effective Amendments”) to the following Registration Statements on Form S-8 (each a “Registration Statement” and, collectively, the “Registration Statements”) previously filed by the Registrant with the U.S. Securities and Exchange Commission (the “SEC”), to deregister any and all shares of the Registrant’s common stock (the “Common Stock”), par value $0.001 per share, registered but unsold or otherwise unissued under each such Registration Statement as of the date hereof:</w:t>
      </w:r>
    </w:p>
    <w:p>
      <w:pPr>
        <w:spacing w:after="0" w:line="89" w:lineRule="exact"/>
        <w:rPr>
          <w:sz w:val="20"/>
          <w:szCs w:val="20"/>
          <w:color w:val="auto"/>
        </w:rPr>
      </w:pPr>
    </w:p>
    <w:p>
      <w:pPr>
        <w:ind w:left="960" w:right="10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7">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333-230725), which was filed with the SEC on April 4, 2019, pertaining to the registration of 25,980,013 shares of Common Stock in the aggregate under the Registrant’s 2008 Equity Incentive Plan, Amended and Restated 2018 Equity Incentive Plan and 2019 Employee Stock Purchase Plan;</w:t>
      </w:r>
    </w:p>
    <w:p>
      <w:pPr>
        <w:spacing w:after="0" w:line="81"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333-237243), which was filed with the SEC on March 17, 2020, pertaining to the registration of 2,678,411 shares of Common Stock under the Registrant’s Amended and Restated 2018 Equity Incentive Plan;</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333-254295), which was filed with the SEC on March 15, 2021, pertaining to the registration of 2,823,565 shares of Common Stock under the Registrant’s Amended and Restated 2018 Equity Incentive Plan;</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333-263155), which was filed with the SEC on March 1, 2022, pertaining to the registration of 3,118,508 shares of Common Stock under the Registrant’s Amended and Restated 2018 Equity Incentive Plan; and</w:t>
      </w:r>
    </w:p>
    <w:p>
      <w:pPr>
        <w:spacing w:after="0" w:line="67" w:lineRule="exact"/>
        <w:rPr>
          <w:rFonts w:ascii="Times New Roman" w:cs="Times New Roman" w:eastAsia="Times New Roman" w:hAnsi="Times New Roman"/>
          <w:sz w:val="18"/>
          <w:szCs w:val="18"/>
          <w:color w:val="auto"/>
        </w:rPr>
      </w:pPr>
    </w:p>
    <w:p>
      <w:pPr>
        <w:ind w:left="960" w:hanging="424"/>
        <w:spacing w:after="0" w:line="266"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(Registration File No. 333-270121), which was filed with the SEC on February 28, 2023, pertaining to the registration of 4,094,270 shares of Common Stock in the aggregate under the Registrant’s Amended and Restated 2018 Equity Incentive Plan and 2019 Employee Stock Purchase Plan.</w:t>
      </w:r>
    </w:p>
    <w:p>
      <w:pPr>
        <w:spacing w:after="0" w:line="176" w:lineRule="exact"/>
        <w:rPr>
          <w:rFonts w:ascii="Times New Roman" w:cs="Times New Roman" w:eastAsia="Times New Roman" w:hAnsi="Times New Roman"/>
          <w:sz w:val="18"/>
          <w:szCs w:val="18"/>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Effective as of April 5, 2024, pursuant to an Agreement and Plan of Merger, dated as of February 25, 2024, by and among the Registrant, Atlas Neon Parent, Inc. (“Parent”), and Atlas Neon Merger Sub, Inc., a wholly-owned subsidiary of Parent (“Merger Sub”), Merger Sub merged with and into the Registrant, with the Registrant surviving as a wholly owned subsidiary of Parent (the “Merger”).</w:t>
      </w:r>
    </w:p>
    <w:p>
      <w:pPr>
        <w:spacing w:after="0" w:line="176" w:lineRule="exact"/>
        <w:rPr>
          <w:rFonts w:ascii="Times New Roman" w:cs="Times New Roman" w:eastAsia="Times New Roman" w:hAnsi="Times New Roman"/>
          <w:sz w:val="18"/>
          <w:szCs w:val="18"/>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As a result of the Merger, the Registrant has terminated any and all offerings of its securities pursuant to the Registration Statements. Accordingly, the Registrant hereby terminates the effectiveness of the Registration Statements and, in accordance with any undertaking made by the Registrant in the Registration Statements to remove from registration, by means of a post-effective amendment, any and all securities that had been registered for issuance but remain unsold at the termination of the offering, removes from registration any and all securities of the Registrant that were registered under the Registration Statements and remain unsold at the termination of the offerings. The Registration Statements are hereby amended, as appropriate, to reflect the deregistration of such securities. After giving effect to this Post-Effective Amendment to the Registration Statement, there will be no remaining securities registered by the Registrant pursuant to the Registration Statement.</w:t>
      </w:r>
    </w:p>
    <w:p>
      <w:pPr>
        <w:spacing w:after="0" w:line="121"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66" w:right="459" w:bottom="1440" w:gutter="0" w:footer="0" w:header="0"/>
        </w:sectPr>
      </w:pPr>
    </w:p>
    <w:bookmarkStart w:id="2" w:name="page3"/>
    <w:bookmarkEnd w:id="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Post-Effective Amendment to be signed on its behalf by the undersigned, thereunto duly authorized, in the City of South San Francisco, State of California, on April 5, 2024.</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NGM Biopharmaceuticals, Inc.</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David J. Woodhouse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J. Woodhouse, Ph.D.</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other person is required to sign this Post-Effective Amendment in reliance upon Rule 478 under the Securities Act of 1933, as amended.</w:t>
      </w:r>
    </w:p>
    <w:sectPr>
      <w:pgSz w:w="11900" w:h="16838" w:orient="portrait"/>
      <w:cols w:equalWidth="0" w:num="1">
        <w:col w:w="10840"/>
      </w:cols>
      <w:pgMar w:left="440" w:top="266"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17" Type="http://schemas.openxmlformats.org/officeDocument/2006/relationships/hyperlink" Target="http://www.sec.gov/Archives/edgar/data/1426332/000119312519098022/d697498ds8.htm" TargetMode="External"/><Relationship Id="rId18" Type="http://schemas.openxmlformats.org/officeDocument/2006/relationships/hyperlink" Target="http://www.sec.gov/Archives/edgar/data/1426332/000156459020011430/ngm-s8.htm" TargetMode="External"/><Relationship Id="rId19" Type="http://schemas.openxmlformats.org/officeDocument/2006/relationships/hyperlink" Target="http://www.sec.gov/Archives/edgar/data/1426332/000156459021013185/ngm-s8.htm" TargetMode="External"/><Relationship Id="rId20" Type="http://schemas.openxmlformats.org/officeDocument/2006/relationships/hyperlink" Target="http://www.sec.gov/Archives/edgar/data/1426332/000162828022004538/ngm-03x01x2022xsx8.htm" TargetMode="External"/><Relationship Id="rId21" Type="http://schemas.openxmlformats.org/officeDocument/2006/relationships/hyperlink" Target="http://www.sec.gov/Archives/edgar/data/1426332/000162828023005600/ngm-02x28x2023xsx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2024-04-05T09:56:37Z</dcterms:created>
  <dcterms:modified xsi:type="dcterms:W3CDTF">2024-04-05T09:56:37Z</dcterms:modified>
</cp:coreProperties>
</file>